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August 14, 2025 (August 5, 2025)</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Chicago Atlantic BDC, Inc.</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800" w:type="dxa"/>
            <w:vAlign w:val="bottom"/>
            <w:gridSpan w:val="3"/>
          </w:tcPr>
          <w:p>
            <w:pPr>
              <w:jc w:val="right"/>
              <w:ind w:right="1460"/>
              <w:spacing w:after="0"/>
              <w:rPr>
                <w:sz w:val="20"/>
                <w:szCs w:val="20"/>
                <w:color w:val="auto"/>
              </w:rPr>
            </w:pPr>
            <w:r>
              <w:rPr>
                <w:rFonts w:ascii="Times New Roman" w:cs="Times New Roman" w:eastAsia="Times New Roman" w:hAnsi="Times New Roman"/>
                <w:sz w:val="16"/>
                <w:szCs w:val="16"/>
                <w:b w:val="1"/>
                <w:bCs w:val="1"/>
                <w:color w:val="auto"/>
              </w:rPr>
              <w:t>001-40564</w:t>
            </w: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86-2872887</w:t>
            </w:r>
          </w:p>
        </w:tc>
      </w:tr>
      <w:tr>
        <w:trPr>
          <w:trHeight w:val="173"/>
        </w:trPr>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9"/>
              </w:rPr>
              <w:t>(State or Other Jurisdiction</w:t>
            </w:r>
          </w:p>
        </w:tc>
        <w:tc>
          <w:tcPr>
            <w:tcW w:w="24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0" w:type="dxa"/>
            <w:vAlign w:val="bottom"/>
            <w:tcBorders>
              <w:top w:val="single" w:sz="8" w:color="auto"/>
            </w:tcBorders>
            <w:gridSpan w:val="3"/>
          </w:tcPr>
          <w:p>
            <w:pPr>
              <w:jc w:val="center"/>
              <w:ind w:right="800"/>
              <w:spacing w:after="0" w:line="173" w:lineRule="exact"/>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auto"/>
                <w:w w:val="98"/>
              </w:rPr>
              <w:t>(IRS Employer</w:t>
            </w:r>
          </w:p>
        </w:tc>
      </w:tr>
      <w:tr>
        <w:trPr>
          <w:trHeight w:val="210"/>
        </w:trPr>
        <w:tc>
          <w:tcPr>
            <w:tcW w:w="464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rPr>
              <w:t>of Incorporation)</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386"/>
        </w:trPr>
        <w:tc>
          <w:tcPr>
            <w:tcW w:w="464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600 Madison Avenue, Suite 1800 New York, New York</w:t>
            </w:r>
          </w:p>
        </w:tc>
        <w:tc>
          <w:tcPr>
            <w:tcW w:w="8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80"/>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10"/>
        </w:trPr>
        <w:tc>
          <w:tcPr>
            <w:tcW w:w="4640" w:type="dxa"/>
            <w:vAlign w:val="bottom"/>
            <w:gridSpan w:val="3"/>
          </w:tcPr>
          <w:p>
            <w:pPr>
              <w:ind w:left="14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right="186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212 905-4923</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6" w:lineRule="exact"/>
        <w:rPr>
          <w:sz w:val="24"/>
          <w:szCs w:val="24"/>
          <w:color w:val="auto"/>
        </w:rPr>
      </w:pPr>
    </w:p>
    <w:tbl>
      <w:tblPr>
        <w:tblLayout w:type="fixed"/>
        <w:tblInd w:w="4" w:type="dxa"/>
        <w:tblCellMar>
          <w:top w:w="0" w:type="dxa"/>
          <w:left w:w="0" w:type="dxa"/>
          <w:bottom w:w="0" w:type="dxa"/>
          <w:right w:w="0" w:type="dxa"/>
        </w:tblCellMar>
      </w:tblPr>
      <w:tr>
        <w:trPr>
          <w:trHeight w:val="210"/>
        </w:trPr>
        <w:tc>
          <w:tcPr>
            <w:tcW w:w="3600" w:type="dxa"/>
            <w:vAlign w:val="bottom"/>
          </w:tcPr>
          <w:p>
            <w:pPr>
              <w:spacing w:after="0"/>
              <w:rPr>
                <w:sz w:val="18"/>
                <w:szCs w:val="18"/>
                <w:color w:val="auto"/>
              </w:rPr>
            </w:pPr>
          </w:p>
        </w:tc>
        <w:tc>
          <w:tcPr>
            <w:tcW w:w="40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Securities registered pursuant to Section 12(b) of the Act:</w:t>
            </w:r>
          </w:p>
        </w:tc>
        <w:tc>
          <w:tcPr>
            <w:tcW w:w="3600" w:type="dxa"/>
            <w:vAlign w:val="bottom"/>
          </w:tcPr>
          <w:p>
            <w:pPr>
              <w:spacing w:after="0"/>
              <w:rPr>
                <w:sz w:val="18"/>
                <w:szCs w:val="18"/>
                <w:color w:val="auto"/>
              </w:rPr>
            </w:pPr>
          </w:p>
        </w:tc>
      </w:tr>
      <w:tr>
        <w:trPr>
          <w:trHeight w:val="38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40" w:type="dxa"/>
            <w:vAlign w:val="bottom"/>
          </w:tcPr>
          <w:p>
            <w:pPr>
              <w:spacing w:after="0"/>
              <w:rPr>
                <w:sz w:val="24"/>
                <w:szCs w:val="24"/>
                <w:color w:val="auto"/>
              </w:rPr>
            </w:pPr>
          </w:p>
        </w:tc>
        <w:tc>
          <w:tcPr>
            <w:tcW w:w="3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91"/>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 per share</w:t>
            </w:r>
          </w:p>
        </w:tc>
        <w:tc>
          <w:tcPr>
            <w:tcW w:w="24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LIEN</w:t>
            </w:r>
          </w:p>
        </w:tc>
        <w:tc>
          <w:tcPr>
            <w:tcW w:w="220" w:type="dxa"/>
            <w:vAlign w:val="bottom"/>
            <w:tcBorders>
              <w:top w:val="single" w:sz="8" w:color="CCEEFF"/>
            </w:tcBorders>
            <w:shd w:val="clear" w:color="auto" w:fill="CCEEFF"/>
          </w:tcPr>
          <w:p>
            <w:pPr>
              <w:spacing w:after="0"/>
              <w:rPr>
                <w:sz w:val="16"/>
                <w:szCs w:val="16"/>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The Nasdaq Stock Market LLC</w:t>
            </w:r>
          </w:p>
        </w:tc>
      </w:tr>
    </w:tbl>
    <w:p>
      <w:pPr>
        <w:spacing w:after="0" w:line="175" w:lineRule="exact"/>
        <w:rPr>
          <w:sz w:val="24"/>
          <w:szCs w:val="24"/>
          <w:color w:val="auto"/>
        </w:rPr>
      </w:pPr>
    </w:p>
    <w:p>
      <w:pPr>
        <w:ind w:left="4" w:right="1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4"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129540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59" w:right="3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0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On August 14, 2025, Chicago Atlantic BDC, Inc. (the “Company”) issued a press release announcing its financial results for the second quarter ended June 30, 2025.</w:t>
      </w:r>
    </w:p>
    <w:p>
      <w:pPr>
        <w:spacing w:after="0" w:line="2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press release is attached as Exhibit 99.1 to this Current Report on Form 8-K and is incorporated herein by reference.</w:t>
      </w:r>
    </w:p>
    <w:p>
      <w:pPr>
        <w:spacing w:after="0" w:line="182" w:lineRule="exact"/>
        <w:rPr>
          <w:sz w:val="20"/>
          <w:szCs w:val="20"/>
          <w:color w:val="auto"/>
        </w:rPr>
      </w:pPr>
    </w:p>
    <w:p>
      <w:pPr>
        <w:ind w:left="4" w:firstLine="574"/>
        <w:spacing w:after="0" w:line="259" w:lineRule="auto"/>
        <w:rPr>
          <w:sz w:val="20"/>
          <w:szCs w:val="20"/>
          <w:color w:val="auto"/>
        </w:rPr>
      </w:pPr>
      <w:r>
        <w:rPr>
          <w:rFonts w:ascii="Times New Roman" w:cs="Times New Roman" w:eastAsia="Times New Roman" w:hAnsi="Times New Roman"/>
          <w:sz w:val="16"/>
          <w:szCs w:val="16"/>
          <w:color w:val="auto"/>
        </w:rPr>
        <w:t>The information in Item 2.02 of this Current Report on Form 8-K, including Exhibit 99.1 furnished herewith, is being furnished and shall not be deemed “filed” for any purpose of Section 18 of the Securities Exchange Act of 1934, as amended (the “Exchange Act”), or otherwise subject to the liabilities of such section. The information in Item 2.02 of this Current Report on Form 8-K shall not be deemed to be incorporated by reference into any filing under the Securities Act of 1933, as amended (the “Securities Act”), or the Exchange Act, except as shall be expressly set forth by specific reference in such filing.</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00" w:lineRule="exact"/>
        <w:rPr>
          <w:sz w:val="20"/>
          <w:szCs w:val="20"/>
          <w:color w:val="auto"/>
        </w:rPr>
      </w:pPr>
    </w:p>
    <w:p>
      <w:pPr>
        <w:ind w:left="4" w:right="20" w:firstLine="574"/>
        <w:spacing w:after="0" w:line="265" w:lineRule="auto"/>
        <w:rPr>
          <w:sz w:val="20"/>
          <w:szCs w:val="20"/>
          <w:color w:val="auto"/>
        </w:rPr>
      </w:pPr>
      <w:r>
        <w:rPr>
          <w:rFonts w:ascii="Times New Roman" w:cs="Times New Roman" w:eastAsia="Times New Roman" w:hAnsi="Times New Roman"/>
          <w:sz w:val="16"/>
          <w:szCs w:val="16"/>
          <w:color w:val="auto"/>
        </w:rPr>
        <w:t>On August 14, 2025, the Company disseminated an earnings presentation to be used in connection with its conference call and live webcast on August 14, 2025 at 9:00 a.m. Eastern time to discuss its financial results for the second quarter ended June 30, 2025. The earnings presentation is attached as Exhibit 99.2 to this Current Report on Form 8-K and is incorporated herein by reference.</w:t>
      </w:r>
    </w:p>
    <w:p>
      <w:pPr>
        <w:spacing w:after="0" w:line="155" w:lineRule="exact"/>
        <w:rPr>
          <w:sz w:val="20"/>
          <w:szCs w:val="20"/>
          <w:color w:val="auto"/>
        </w:rPr>
      </w:pPr>
    </w:p>
    <w:p>
      <w:pPr>
        <w:ind w:left="4" w:firstLine="574"/>
        <w:spacing w:after="0" w:line="290" w:lineRule="auto"/>
        <w:rPr>
          <w:sz w:val="20"/>
          <w:szCs w:val="20"/>
          <w:color w:val="auto"/>
        </w:rPr>
      </w:pPr>
      <w:r>
        <w:rPr>
          <w:rFonts w:ascii="Times New Roman" w:cs="Times New Roman" w:eastAsia="Times New Roman" w:hAnsi="Times New Roman"/>
          <w:sz w:val="15"/>
          <w:szCs w:val="15"/>
          <w:color w:val="auto"/>
        </w:rPr>
        <w:t>The information in Item 7.01 of this Current Report on Form 8-K, including Exhibit 99.2 furnished herewith, is being furnished and shall not be deemed “filed” for any purpose of Section 18 of the Exchange Act, or otherwise subject to the liabilities of such section. The information in Item 7.01 of this Current Report on Form 8-K shall not be deemed to be incorporated by reference into any filing under the Securities Act or the Exchange Act, except as shall be expressly set forth by specific reference in such filing.</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d) Exhibits</w:t>
            </w: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180" w:type="dxa"/>
            <w:vAlign w:val="bottom"/>
          </w:tcPr>
          <w:p>
            <w:pPr>
              <w:spacing w:after="0"/>
              <w:rPr>
                <w:sz w:val="18"/>
                <w:szCs w:val="18"/>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10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bottom w:val="single" w:sz="8" w:color="CCEEFF"/>
            </w:tcBorders>
            <w:shd w:val="clear" w:color="auto" w:fill="CCEEFF"/>
          </w:tcPr>
          <w:p>
            <w:pPr>
              <w:spacing w:after="0"/>
              <w:rPr>
                <w:sz w:val="14"/>
                <w:szCs w:val="14"/>
                <w:color w:val="auto"/>
              </w:rPr>
            </w:pPr>
          </w:p>
        </w:tc>
        <w:tc>
          <w:tcPr>
            <w:tcW w:w="2380" w:type="dxa"/>
            <w:vAlign w:val="bottom"/>
            <w:tcBorders>
              <w:bottom w:val="single" w:sz="8" w:color="0000EE"/>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w w:val="98"/>
              </w:rPr>
              <w:t>Press release, dated August 14, 2025.</w:t>
            </w:r>
          </w:p>
        </w:tc>
        <w:tc>
          <w:tcPr>
            <w:tcW w:w="7740" w:type="dxa"/>
            <w:vAlign w:val="bottom"/>
            <w:tcBorders>
              <w:bottom w:val="single" w:sz="8" w:color="CCEEFF"/>
            </w:tcBorders>
            <w:gridSpan w:val="2"/>
            <w:shd w:val="clear" w:color="auto" w:fill="CCEEFF"/>
          </w:tcPr>
          <w:p>
            <w:pPr>
              <w:spacing w:after="0"/>
              <w:rPr>
                <w:sz w:val="14"/>
                <w:szCs w:val="14"/>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20" w:type="dxa"/>
            <w:vAlign w:val="bottom"/>
          </w:tcPr>
          <w:p>
            <w:pPr>
              <w:spacing w:after="0"/>
              <w:rPr>
                <w:sz w:val="13"/>
                <w:szCs w:val="13"/>
                <w:color w:val="auto"/>
              </w:rPr>
            </w:pPr>
          </w:p>
        </w:tc>
        <w:tc>
          <w:tcPr>
            <w:tcW w:w="10120" w:type="dxa"/>
            <w:vAlign w:val="bottom"/>
            <w:gridSpan w:val="3"/>
          </w:tcPr>
          <w:p>
            <w:pPr>
              <w:spacing w:after="0" w:line="155" w:lineRule="exact"/>
              <w:rPr>
                <w:sz w:val="20"/>
                <w:szCs w:val="20"/>
                <w:color w:val="auto"/>
              </w:rPr>
            </w:pPr>
            <w:r>
              <w:rPr>
                <w:rFonts w:ascii="Times New Roman" w:cs="Times New Roman" w:eastAsia="Times New Roman" w:hAnsi="Times New Roman"/>
                <w:sz w:val="16"/>
                <w:szCs w:val="16"/>
                <w:color w:val="0000EE"/>
              </w:rPr>
              <w:t>Earnings Presentation, dated August 14, 2025.</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7" w:lineRule="exact"/>
        <w:rPr>
          <w:sz w:val="20"/>
          <w:szCs w:val="20"/>
          <w:color w:val="auto"/>
        </w:rPr>
      </w:pPr>
    </w:p>
    <w:p>
      <w:pPr>
        <w:ind w:left="5584" w:right="5020" w:hanging="5584"/>
        <w:spacing w:after="0" w:line="543" w:lineRule="auto"/>
        <w:tabs>
          <w:tab w:leader="none" w:pos="1131"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7148195" cy="1212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248285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4"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CHICAGO ATLANTIC BDC, INC.</w:t>
      </w:r>
    </w:p>
    <w:p>
      <w:pPr>
        <w:spacing w:after="0" w:line="198"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6"/>
          <w:szCs w:val="16"/>
          <w:color w:val="auto"/>
        </w:rPr>
        <w:t>Date: August 14, 2025</w:t>
      </w:r>
      <w:r>
        <w:rPr>
          <w:sz w:val="20"/>
          <w:szCs w:val="20"/>
          <w:color w:val="auto"/>
        </w:rPr>
        <w:tab/>
      </w:r>
      <w:r>
        <w:rPr>
          <w:rFonts w:ascii="Times New Roman" w:cs="Times New Roman" w:eastAsia="Times New Roman" w:hAnsi="Times New Roman"/>
          <w:sz w:val="16"/>
          <w:szCs w:val="16"/>
          <w:color w:val="auto"/>
        </w:rPr>
        <w:t>By:  /s/ Thomas Geoffroy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4504690</wp:posOffset>
            </wp:positionH>
            <wp:positionV relativeFrom="paragraph">
              <wp:posOffset>15240</wp:posOffset>
            </wp:positionV>
            <wp:extent cx="264096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965" cy="15240"/>
                    </a:xfrm>
                    <a:prstGeom prst="rect">
                      <a:avLst/>
                    </a:prstGeom>
                    <a:noFill/>
                  </pic:spPr>
                </pic:pic>
              </a:graphicData>
            </a:graphic>
          </wp:anchor>
        </w:drawing>
      </w:r>
    </w:p>
    <w:p>
      <w:pPr>
        <w:spacing w:after="0" w:line="1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6"/>
          <w:szCs w:val="16"/>
          <w:color w:val="auto"/>
        </w:rPr>
        <w:t>Interim Chief Financial Officer</w:t>
      </w:r>
    </w:p>
    <w:p>
      <w:pPr>
        <w:spacing w:after="0" w:line="39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20"/>
          </w:cols>
          <w:pgMar w:left="320" w:top="814"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152400</wp:posOffset>
            </wp:positionV>
            <wp:extent cx="1153160" cy="1009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53160" cy="1009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Chicago Atlantic BDC, Inc. Reports Second Quarter 2025 Financial Results</w:t>
      </w:r>
    </w:p>
    <w:p>
      <w:pPr>
        <w:spacing w:after="0" w:line="200"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NEW YORK, August 14, 2025 --- Chicago Atlantic BDC, Inc. (“LIEN” or the “Company”) (NASDAQ: LIEN), a specialty finance company that has elected to be regulated as a business development company, today announced its financial results for the second quarter ended June 30,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Second Quarter 2025 Highlights and Subsequent Activity</w:t>
      </w:r>
    </w:p>
    <w:p>
      <w:pPr>
        <w:spacing w:after="0" w:line="200" w:lineRule="exact"/>
        <w:rPr>
          <w:sz w:val="20"/>
          <w:szCs w:val="20"/>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gross investment income of $13.1 million</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investment income of $7.7 million, or $0.34 per weighted average share outstanding</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investment portfolio of $307.5 million at fair value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asset value (“NAV”) per share was $13.23 on June 30, 2025</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Declared a dividend of $0.34 per share for the quarter ending September 30, 2025 payable on October 10, 2025 to shareholders of record of September 29, 2025</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Funded nine portfolio companies with $39.1 million in aggregate par value during the second quarter of 2025</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Subsequent to quarter end, the Company funded $17.2 million in investments across five borrowers</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there were 22,820,408 common shares issued and outstanding on a basic and fully diluted basis</w:t>
      </w:r>
    </w:p>
    <w:p>
      <w:pPr>
        <w:spacing w:after="0" w:line="19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Peter Sack, Chief Executive Officer of the Company, commented, “Through a consistent and measured approach, we deployed $56 million in gross fundings by principal value during the second quarter and to date in the third quarter. These investments were partially funded with borrowings on our new senior credit facility. With the originations pipeline of cannabis and non-cannabis opportunities growing to over $780 million across the Chicago Atlantic platform, we believe the credit facility will provide a distinct advantage in meeting the needs for borrowers’ upcoming debt maturities, growth capital and potential ESOP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and Investment Activity</w:t>
      </w:r>
    </w:p>
    <w:p>
      <w:pPr>
        <w:spacing w:after="0" w:line="224" w:lineRule="exact"/>
        <w:rPr>
          <w:sz w:val="20"/>
          <w:szCs w:val="20"/>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 Company’s investment portfolio had an aggregate fair value of approximately $307.5 million across 31 portfolio companies.</w:t>
      </w:r>
    </w:p>
    <w:p>
      <w:pPr>
        <w:spacing w:after="0" w:line="198" w:lineRule="exact"/>
        <w:rPr>
          <w:rFonts w:ascii="Times New Roman" w:cs="Times New Roman" w:eastAsia="Times New Roman" w:hAnsi="Times New Roman"/>
          <w:sz w:val="16"/>
          <w:szCs w:val="16"/>
          <w:color w:val="auto"/>
        </w:rPr>
      </w:pPr>
    </w:p>
    <w:p>
      <w:pPr>
        <w:jc w:val="both"/>
        <w:ind w:left="560" w:right="380" w:hanging="278"/>
        <w:spacing w:after="0" w:line="315" w:lineRule="auto"/>
        <w:tabs>
          <w:tab w:leader="none" w:pos="5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quarter ended June 30, 2025, the Company funded nine portfolio companies with an aggregate par value of $39.1 million, three of which were in new borrowers. Subsequent to quarter end, the Company funded five investments with an aggregate par value of $17.2 million, three of which were to new borrowers.</w:t>
      </w:r>
    </w:p>
    <w:p>
      <w:pPr>
        <w:spacing w:after="0" w:line="120" w:lineRule="exact"/>
        <w:rPr>
          <w:rFonts w:ascii="Times New Roman" w:cs="Times New Roman" w:eastAsia="Times New Roman" w:hAnsi="Times New Roman"/>
          <w:sz w:val="15"/>
          <w:szCs w:val="15"/>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quarter ended June 30, 2025, the Company had principal repayments of $22.3 million of which $3.1 million was receivable as of June 30, 2025.</w:t>
      </w:r>
    </w:p>
    <w:p>
      <w:pPr>
        <w:spacing w:after="0" w:line="198"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2025, there were no loans on non-accrual status.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00"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6"/>
          <w:szCs w:val="16"/>
          <w:color w:val="auto"/>
        </w:rPr>
        <w:t>For the three months ended June 30, 2025, total investment income was approximately $13.1 million. For the three months ended June 30, 2025, the Company incurred net expenses of approximately $5.4 million, resulting in net investment income of approximately $7.7 million, or $0.34 per weighted average share, and a net increase in net assets from operations of approximately $8.6 million, or $0.38 per weighted average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367030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2"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0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As of June 30, 2025, the Company had $108.8 million of liquidity including $13.8 million of cash and cash equivalents and $5.0 million of borrowings outstanding on its $100 million senior credit facility. As of August, 14 2025 the Company has no outstanding borrowings on its senior credit facility and $125.4 million of liquidity.</w:t>
      </w:r>
    </w:p>
    <w:p>
      <w:pPr>
        <w:spacing w:after="0"/>
        <w:rPr>
          <w:sz w:val="20"/>
          <w:szCs w:val="20"/>
          <w:color w:val="auto"/>
        </w:rPr>
      </w:pPr>
      <w:r>
        <w:rPr>
          <w:rFonts w:ascii="Times New Roman" w:cs="Times New Roman" w:eastAsia="Times New Roman" w:hAnsi="Times New Roman"/>
          <w:sz w:val="16"/>
          <w:szCs w:val="16"/>
          <w:b w:val="1"/>
          <w:bCs w:val="1"/>
          <w:color w:val="auto"/>
        </w:rPr>
        <w:t>Net Asset Value</w:t>
      </w:r>
    </w:p>
    <w:p>
      <w:pPr>
        <w:spacing w:after="0" w:line="18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As of June 30, 2025, NAV per share was $13.23 compared with $13.19 as of March 31, 2025. The slight increase in NAV per share was primarily driven by growth in net assets from operations, offset by dividend payments. Total net assets as of June 30, 2025 were $301.8 million compared to $301.0 million as of March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w:t>
      </w:r>
    </w:p>
    <w:p>
      <w:pPr>
        <w:spacing w:after="0" w:line="200"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6"/>
          <w:szCs w:val="16"/>
          <w:color w:val="auto"/>
        </w:rPr>
        <w:t>The Company’s Board of Directors declared a cash dividend of $0.34 per share for the quarter ending September 30, 2025 payable on October 10, 2025 to shareholders of record of September 29,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Conference Call and Quarterly Earnings Presentation</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highlight w:val="white"/>
        </w:rPr>
        <w:t>The Company will host a conference call and live audio webcast, both open for the general public to hear, to discuss the Company's second quarter 2025 financial results at 9:00 a.m. Eastern Time on Thursday, August 14, 2025. The number to call for the conference call is (833) 630-1956 (international callers: 412-317-1837). The live audio webcast of the call will also be available on the Company’s website at lien.chicagoatlantic.com.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-375920</wp:posOffset>
            </wp:positionV>
            <wp:extent cx="7148195" cy="1092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092835"/>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 replay of the call will be available at </w:t>
      </w:r>
      <w:r>
        <w:rPr>
          <w:rFonts w:ascii="Times New Roman" w:cs="Times New Roman" w:eastAsia="Times New Roman" w:hAnsi="Times New Roman"/>
          <w:sz w:val="16"/>
          <w:szCs w:val="16"/>
          <w:color w:val="auto"/>
          <w:highlight w:val="white"/>
        </w:rPr>
        <w:t>lien.chicagoatlantic.com</w:t>
      </w:r>
      <w:r>
        <w:rPr>
          <w:rFonts w:ascii="Times New Roman" w:cs="Times New Roman" w:eastAsia="Times New Roman" w:hAnsi="Times New Roman"/>
          <w:sz w:val="16"/>
          <w:szCs w:val="16"/>
          <w:color w:val="auto"/>
        </w:rPr>
        <w:t xml:space="preserve"> by the end of </w:t>
      </w:r>
      <w:r>
        <w:rPr>
          <w:rFonts w:ascii="Times New Roman" w:cs="Times New Roman" w:eastAsia="Times New Roman" w:hAnsi="Times New Roman"/>
          <w:sz w:val="16"/>
          <w:szCs w:val="16"/>
          <w:color w:val="auto"/>
          <w:highlight w:val="white"/>
        </w:rPr>
        <w:t>day on August 14,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Call Details – Chicago Atlantic BDC, Inc. Second Quarter 2025 Financial Results:</w:t>
      </w:r>
    </w:p>
    <w:p>
      <w:pPr>
        <w:spacing w:after="0" w:line="198" w:lineRule="exact"/>
        <w:rPr>
          <w:sz w:val="20"/>
          <w:szCs w:val="20"/>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When</w:t>
      </w:r>
      <w:r>
        <w:rPr>
          <w:rFonts w:ascii="Times New Roman" w:cs="Times New Roman" w:eastAsia="Times New Roman" w:hAnsi="Times New Roman"/>
          <w:sz w:val="16"/>
          <w:szCs w:val="16"/>
          <w:color w:val="auto"/>
        </w:rPr>
        <w:t>: Thursday, August 14, 2025</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Time</w:t>
      </w:r>
      <w:r>
        <w:rPr>
          <w:rFonts w:ascii="Times New Roman" w:cs="Times New Roman" w:eastAsia="Times New Roman" w:hAnsi="Times New Roman"/>
          <w:sz w:val="16"/>
          <w:szCs w:val="16"/>
          <w:color w:val="auto"/>
        </w:rPr>
        <w:t>: 9:00 a.m. ET</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Webcast Live Stream</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https://edge.media-server.com/mmc/p/f59d9m79</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Replay</w:t>
      </w:r>
      <w:r>
        <w:rPr>
          <w:rFonts w:ascii="Times New Roman" w:cs="Times New Roman" w:eastAsia="Times New Roman" w:hAnsi="Times New Roman"/>
          <w:sz w:val="16"/>
          <w:szCs w:val="16"/>
          <w:color w:val="auto"/>
        </w:rPr>
        <w:t>: lien.chicagoatlantic.com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-620395</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-362585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6"/>
          <w:szCs w:val="16"/>
          <w:color w:val="auto"/>
        </w:rPr>
        <w:t>LIEN posted its Second Quarter 2025 Earnings Presentation on the Events and Presentations page of its website, lien.chicagoatlantic.com. LIEN routinely posts important information for investors on its website. The Company intends to use this website as a means of disclosing material information, for complying with our disclosure obligations under Regulation FD and to post and update investor presentations and similar materials on a regular basis. The Company encourages investors, analysts, the media and others interested in LIEN to monitor the Investor Relations page of its website, in addition to following its press releases, Securities and Exchange Commission (“SEC”) filings, publicly available earnings calls, presentations, webcasts and other information posted from time to time on the website. Please visit the IR Resources section of the website to sign up for email notifications.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About Chicago Atlantic BDC, Inc.</w:t>
      </w:r>
    </w:p>
    <w:p>
      <w:pPr>
        <w:spacing w:after="0" w:line="20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Company is a specialty finance company that has elected to be regulated as a business development company under the Investment Company Act of 1940, as amended, and has elected to be treated as a regulated investment company for U.S. federal income tax purposes. The Company’s investment objective is to maximize risk-adjusted returns on equity for its stockholders by investing primarily in direct loans to privately held middle-market companies, with a primary focus on cannabis companies. The Company is managed by Chicago Atlantic BDC Advisers, LLC, an investment manager focused on the cannabis industry and other niche or underfollowed sectors. For more information, please visit lien.chicagoatlantic.com.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0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Certain information contained herein may constitute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the Company, its current and prospective portfolio investments, its industry, its beliefs and opinions, and its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the Company’s control and difficult to predict and could cause actual results to differ materially from those expressed or forecasted in the forward-looking statements including, without limitation, the risks, uncertainties and other factors identified in the Company’s filings with the SEC. Investors should not place undue reliance on these forward-looking statements, which apply only as of the date on which the Company makes them. The Company does not undertake any obligation to update or revise any forward-looking statements or any other information contained herein, except as required by applicable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Tripp Sullivan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Kampf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SCR Partners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LIEN@chicagoatlantic.com</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6" w:name="page7"/>
    <w:bookmarkEnd w:id="6"/>
    <w:p>
      <w:pPr>
        <w:ind w:left="4400"/>
        <w:spacing w:after="0"/>
        <w:rPr>
          <w:sz w:val="20"/>
          <w:szCs w:val="20"/>
          <w:color w:val="auto"/>
        </w:rPr>
      </w:pPr>
      <w:r>
        <w:rPr>
          <w:rFonts w:ascii="Times New Roman" w:cs="Times New Roman" w:eastAsia="Times New Roman" w:hAnsi="Times New Roman"/>
          <w:sz w:val="16"/>
          <w:szCs w:val="16"/>
          <w:b w:val="1"/>
          <w:bCs w:val="1"/>
          <w:color w:val="auto"/>
        </w:rPr>
        <w:t>CHICAGO ATLANTIC BDC, INC.</w:t>
      </w:r>
    </w:p>
    <w:p>
      <w:pPr>
        <w:spacing w:after="0" w:line="2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6"/>
          <w:szCs w:val="16"/>
          <w:b w:val="1"/>
          <w:bCs w:val="1"/>
          <w:color w:val="auto"/>
        </w:rPr>
        <w:t>Statements of Assets and Liabilities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4"/>
        </w:trPr>
        <w:tc>
          <w:tcPr>
            <w:tcW w:w="8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3"/>
              </w:rPr>
              <w:t>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2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Investments at fair value: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Non-control/non-affiliate investments at fair value (amortized cost of $305,718,723 and $288,402,119, respectively)</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307,499,004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289,262,741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13,829,354</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14,921,739</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affiliates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6,517,715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5,202,278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Interest receivable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2,480,774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3,061,836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1,423,572</w:t>
            </w:r>
          </w:p>
        </w:tc>
        <w:tc>
          <w:tcPr>
            <w:tcW w:w="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1,250,109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826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331,750,419</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313,698,703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for Investments Purchased</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11,760,000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7,758,931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Revolving line of credit</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Income-based incentive fees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1,968,640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2,122,865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Management fee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1,345,331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1,339,250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Due to affiliates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724,306</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197,344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629,000</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756,602</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 payable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299,006</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115,074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155,002</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62,816</w:t>
            </w:r>
          </w:p>
        </w:tc>
        <w:tc>
          <w:tcPr>
            <w:tcW w:w="0" w:type="dxa"/>
            <w:vAlign w:val="bottom"/>
          </w:tcPr>
          <w:p>
            <w:pPr>
              <w:spacing w:after="0"/>
              <w:rPr>
                <w:sz w:val="1"/>
                <w:szCs w:val="1"/>
                <w:color w:val="auto"/>
              </w:rPr>
            </w:pPr>
          </w:p>
        </w:tc>
      </w:tr>
      <w:tr>
        <w:trPr>
          <w:trHeight w:val="191"/>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Unearned interest income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126,136</w:t>
            </w:r>
          </w:p>
        </w:tc>
        <w:tc>
          <w:tcPr>
            <w:tcW w:w="10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213,269</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Offering costs payable</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92,615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Deferred financing costs payable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47,881</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114,548</w:t>
            </w:r>
          </w:p>
        </w:tc>
        <w:tc>
          <w:tcPr>
            <w:tcW w:w="0" w:type="dxa"/>
            <w:vAlign w:val="bottom"/>
          </w:tcPr>
          <w:p>
            <w:pPr>
              <w:spacing w:after="0"/>
              <w:rPr>
                <w:sz w:val="1"/>
                <w:szCs w:val="1"/>
                <w:color w:val="auto"/>
              </w:rPr>
            </w:pPr>
          </w:p>
        </w:tc>
      </w:tr>
      <w:tr>
        <w:trPr>
          <w:trHeight w:val="195"/>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29,906,856</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12,680,699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2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Common stock, $0.01 par value, 100,000,000 shares authorized, 22,820,408 and 22,820,386 shares issued and outstanding,</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228,204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228,204</w:t>
            </w:r>
          </w:p>
        </w:tc>
        <w:tc>
          <w:tcPr>
            <w:tcW w:w="0" w:type="dxa"/>
            <w:vAlign w:val="bottom"/>
          </w:tcPr>
          <w:p>
            <w:pPr>
              <w:spacing w:after="0"/>
              <w:rPr>
                <w:sz w:val="1"/>
                <w:szCs w:val="1"/>
                <w:color w:val="auto"/>
              </w:rPr>
            </w:pPr>
          </w:p>
        </w:tc>
      </w:tr>
      <w:tr>
        <w:trPr>
          <w:trHeight w:val="191"/>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paid-in-capital</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303,152,264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303,152,031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Times New Roman" w:cs="Times New Roman" w:eastAsia="Times New Roman" w:hAnsi="Times New Roman"/>
                <w:sz w:val="16"/>
                <w:szCs w:val="16"/>
                <w:color w:val="auto"/>
              </w:rPr>
              <w:t>Distributable earnings (accumulated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(1,536,905)</w:t>
            </w: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(2,362,231)</w:t>
            </w:r>
          </w:p>
        </w:tc>
        <w:tc>
          <w:tcPr>
            <w:tcW w:w="0" w:type="dxa"/>
            <w:vAlign w:val="bottom"/>
          </w:tcPr>
          <w:p>
            <w:pPr>
              <w:spacing w:after="0"/>
              <w:rPr>
                <w:sz w:val="1"/>
                <w:szCs w:val="1"/>
                <w:color w:val="auto"/>
              </w:rPr>
            </w:pPr>
          </w:p>
        </w:tc>
      </w:tr>
      <w:tr>
        <w:trPr>
          <w:trHeight w:val="211"/>
        </w:trPr>
        <w:tc>
          <w:tcPr>
            <w:tcW w:w="8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net assets</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301,843,563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301,018,004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ASSET VALUE PER SHARE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580"/>
              <w:spacing w:after="0"/>
              <w:rPr>
                <w:sz w:val="20"/>
                <w:szCs w:val="20"/>
                <w:color w:val="auto"/>
              </w:rPr>
            </w:pPr>
            <w:r>
              <w:rPr>
                <w:rFonts w:ascii="Times New Roman" w:cs="Times New Roman" w:eastAsia="Times New Roman" w:hAnsi="Times New Roman"/>
                <w:sz w:val="16"/>
                <w:szCs w:val="16"/>
                <w:color w:val="auto"/>
              </w:rPr>
              <w:t>4</w:t>
            </w: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8260" w:type="dxa"/>
            <w:vAlign w:val="bottom"/>
            <w:tcBorders>
              <w:bottom w:val="single" w:sz="8" w:color="auto"/>
            </w:tcBorders>
            <w:vMerge w:val="continue"/>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CHICAGO ATLANTIC BDC, INC.</w:t>
      </w:r>
    </w:p>
    <w:p>
      <w:pPr>
        <w:spacing w:after="0" w:line="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92"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p>
      <w:pPr>
        <w:sectPr>
          <w:pgSz w:w="11900" w:h="16838" w:orient="portrait"/>
          <w:cols w:equalWidth="0" w:num="1">
            <w:col w:w="11260"/>
          </w:cols>
          <w:pgMar w:left="320" w:top="814" w:right="31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INVESTMENT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Non-control/non-affiliate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12065</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Interest income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Fee income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-104140</wp:posOffset>
            </wp:positionV>
            <wp:extent cx="7148195" cy="136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20"/>
              <w:spacing w:after="0" w:line="177"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120"/>
              <w:spacing w:after="0" w:line="177"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4"/>
        </w:trPr>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569"/>
        </w:trPr>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11,906,066</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11,279,456</w:t>
            </w:r>
          </w:p>
        </w:tc>
      </w:tr>
      <w:tr>
        <w:trPr>
          <w:trHeight w:val="212"/>
        </w:trPr>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1,173,972</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643,546</w:t>
            </w:r>
          </w:p>
        </w:tc>
      </w:tr>
      <w:tr>
        <w:trPr>
          <w:trHeight w:val="195"/>
        </w:trPr>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13,080,038</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11,923,002</w:t>
            </w:r>
          </w:p>
        </w:tc>
      </w:tr>
    </w:tbl>
    <w:p>
      <w:pPr>
        <w:spacing w:after="0" w:line="191" w:lineRule="exact"/>
        <w:rPr>
          <w:sz w:val="20"/>
          <w:szCs w:val="20"/>
          <w:color w:val="auto"/>
        </w:rPr>
      </w:pPr>
    </w:p>
    <w:p>
      <w:pPr>
        <w:sectPr>
          <w:pgSz w:w="11900" w:h="16838" w:orient="portrait"/>
          <w:cols w:equalWidth="0" w:num="2">
            <w:col w:w="7960" w:space="720"/>
            <w:col w:w="2580"/>
          </w:cols>
          <w:pgMar w:left="320" w:top="814" w:right="31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Income-based incentive fees</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1,968,637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1,916,277</w:t>
            </w: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1,366,783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974,477</w:t>
            </w: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Management fee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1,345,331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1,260,875</w:t>
            </w: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Legal expenses</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313,139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250,926</w:t>
            </w: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301,260</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145,381</w:t>
            </w: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275,860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215,726</w:t>
            </w: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Capital gains incentive fees</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183,932</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(6,813)</w:t>
            </w: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expenses</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169,717</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144,422</w:t>
            </w: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Audit expense</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153,750</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190,002</w:t>
            </w: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Sub-administrator fees</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128,805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157,785</w:t>
            </w: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Transaction expenses related to the Loan Portfolio Acquisition</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223"/>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Excise tax expense</w:t>
            </w: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5"/>
        </w:trPr>
        <w:tc>
          <w:tcPr>
            <w:tcW w:w="830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Total expenses</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6,207,214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5,249,058</w:t>
            </w:r>
          </w:p>
        </w:tc>
        <w:tc>
          <w:tcPr>
            <w:tcW w:w="120" w:type="dxa"/>
            <w:vAlign w:val="bottom"/>
          </w:tcPr>
          <w:p>
            <w:pPr>
              <w:spacing w:after="0"/>
              <w:rPr>
                <w:sz w:val="15"/>
                <w:szCs w:val="15"/>
                <w:color w:val="auto"/>
              </w:rPr>
            </w:pP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Waiver of General and administrative expense</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(658,477)</w:t>
            </w:r>
          </w:p>
        </w:tc>
      </w:tr>
      <w:tr>
        <w:trPr>
          <w:trHeight w:val="207"/>
        </w:trPr>
        <w:tc>
          <w:tcPr>
            <w:tcW w:w="8300" w:type="dxa"/>
            <w:vAlign w:val="bottom"/>
          </w:tcPr>
          <w:p>
            <w:pPr>
              <w:spacing w:after="0"/>
              <w:rPr>
                <w:sz w:val="20"/>
                <w:szCs w:val="20"/>
                <w:color w:val="auto"/>
              </w:rPr>
            </w:pPr>
            <w:r>
              <w:rPr>
                <w:rFonts w:ascii="Times New Roman" w:cs="Times New Roman" w:eastAsia="Times New Roman" w:hAnsi="Times New Roman"/>
                <w:sz w:val="16"/>
                <w:szCs w:val="16"/>
                <w:color w:val="auto"/>
              </w:rPr>
              <w:t>Expense limitation agreement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(791,783)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(316,000)</w:t>
            </w:r>
          </w:p>
        </w:tc>
      </w:tr>
      <w:tr>
        <w:trPr>
          <w:trHeight w:val="211"/>
        </w:trPr>
        <w:tc>
          <w:tcPr>
            <w:tcW w:w="8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expenses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5,415,431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4,274,581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9"/>
        </w:trPr>
        <w:tc>
          <w:tcPr>
            <w:tcW w:w="83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INVESTMENT INCOME (LOSS)</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7,664,607</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7,648,421</w:t>
            </w:r>
          </w:p>
        </w:tc>
        <w:tc>
          <w:tcPr>
            <w:tcW w:w="120" w:type="dxa"/>
            <w:vAlign w:val="bottom"/>
            <w:tcBorders>
              <w:bottom w:val="single" w:sz="8" w:color="CCEEFF"/>
            </w:tcBorders>
          </w:tcPr>
          <w:p>
            <w:pPr>
              <w:spacing w:after="0"/>
              <w:rPr>
                <w:sz w:val="15"/>
                <w:szCs w:val="15"/>
                <w:color w:val="auto"/>
              </w:rPr>
            </w:pPr>
          </w:p>
        </w:tc>
      </w:tr>
      <w:tr>
        <w:trPr>
          <w:trHeight w:val="191"/>
        </w:trPr>
        <w:tc>
          <w:tcPr>
            <w:tcW w:w="8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 non-affiliate investments</w:t>
            </w:r>
          </w:p>
        </w:tc>
        <w:tc>
          <w:tcPr>
            <w:tcW w:w="3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179"/>
        </w:trPr>
        <w:tc>
          <w:tcPr>
            <w:tcW w:w="8300" w:type="dxa"/>
            <w:vAlign w:val="bottom"/>
            <w:tcBorders>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realized gain (loss) from investments</w:t>
            </w: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CCEEFF"/>
            </w:tcBorders>
          </w:tcPr>
          <w:p>
            <w:pPr>
              <w:spacing w:after="0"/>
              <w:rPr>
                <w:sz w:val="15"/>
                <w:szCs w:val="15"/>
                <w:color w:val="auto"/>
              </w:rPr>
            </w:pPr>
          </w:p>
        </w:tc>
      </w:tr>
      <w:tr>
        <w:trPr>
          <w:trHeight w:val="191"/>
        </w:trPr>
        <w:tc>
          <w:tcPr>
            <w:tcW w:w="8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8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Non-controlled/non-affiliate investments</w:t>
            </w:r>
          </w:p>
        </w:tc>
        <w:tc>
          <w:tcPr>
            <w:tcW w:w="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919,658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(34,064)</w:t>
            </w:r>
          </w:p>
        </w:tc>
      </w:tr>
      <w:tr>
        <w:trPr>
          <w:trHeight w:val="179"/>
        </w:trPr>
        <w:tc>
          <w:tcPr>
            <w:tcW w:w="830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Net change in unrealized appreciation (depreciation) on investments</w:t>
            </w:r>
          </w:p>
        </w:tc>
        <w:tc>
          <w:tcPr>
            <w:tcW w:w="3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919,658</w:t>
            </w:r>
          </w:p>
        </w:tc>
        <w:tc>
          <w:tcPr>
            <w:tcW w:w="24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(34,064</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195"/>
        </w:trPr>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realized and unrealized gains (losses)</w:t>
            </w:r>
          </w:p>
        </w:tc>
        <w:tc>
          <w:tcPr>
            <w:tcW w:w="3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919,658</w:t>
            </w: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(34,064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8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8,584,265</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7,614,357</w:t>
            </w:r>
          </w:p>
        </w:tc>
        <w:tc>
          <w:tcPr>
            <w:tcW w:w="120" w:type="dxa"/>
            <w:vAlign w:val="bottom"/>
            <w:shd w:val="clear" w:color="auto" w:fill="CCEEFF"/>
          </w:tcPr>
          <w:p>
            <w:pPr>
              <w:spacing w:after="0"/>
              <w:rPr>
                <w:sz w:val="20"/>
                <w:szCs w:val="20"/>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187"/>
        </w:trPr>
        <w:tc>
          <w:tcPr>
            <w:tcW w:w="8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INVESTMENT INCOME (LOSS) PER SHARE - BASIC AND DILUTED</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0.34</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0.34</w:t>
            </w:r>
          </w:p>
        </w:tc>
      </w:tr>
      <w:tr>
        <w:trPr>
          <w:trHeight w:val="173"/>
        </w:trPr>
        <w:tc>
          <w:tcPr>
            <w:tcW w:w="8300" w:type="dxa"/>
            <w:vAlign w:val="bottom"/>
          </w:tcPr>
          <w:p>
            <w:pPr>
              <w:spacing w:after="0" w:line="173" w:lineRule="exact"/>
              <w:rPr>
                <w:sz w:val="20"/>
                <w:szCs w:val="20"/>
                <w:color w:val="auto"/>
              </w:rPr>
            </w:pPr>
            <w:r>
              <w:rPr>
                <w:rFonts w:ascii="Times New Roman" w:cs="Times New Roman" w:eastAsia="Times New Roman" w:hAnsi="Times New Roman"/>
                <w:sz w:val="16"/>
                <w:szCs w:val="16"/>
                <w:b w:val="1"/>
                <w:bCs w:val="1"/>
                <w:color w:val="auto"/>
              </w:rPr>
              <w:t>NET INCREASE (DECREASE) IN NET ASSETS RESULTING FROM OPERATIONS PER SHARE - BASIC AND</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83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0.38</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0.33</w:t>
            </w:r>
          </w:p>
        </w:tc>
      </w:tr>
      <w:tr>
        <w:trPr>
          <w:trHeight w:val="191"/>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 BASIC AND DILUTED</w:t>
            </w: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22,820,405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22,820,386</w:t>
            </w:r>
          </w:p>
        </w:tc>
      </w:tr>
    </w:tbl>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type w:val="continuous"/>
        </w:sectPr>
      </w:pPr>
    </w:p>
    <w:bookmarkStart w:id="8" w:name="page9"/>
    <w:bookmarkEnd w:id="8"/>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153035</wp:posOffset>
            </wp:positionV>
            <wp:extent cx="7203440" cy="4332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7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2025-08-14T06:19:25Z</dcterms:created>
  <dcterms:modified xsi:type="dcterms:W3CDTF">2025-08-14T06:19:25Z</dcterms:modified>
</cp:coreProperties>
</file>