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44"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149860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8"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173355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w:t>
      </w:r>
    </w:p>
    <w:p>
      <w:pPr>
        <w:spacing w:after="0" w:line="27" w:lineRule="exact"/>
        <w:rPr>
          <w:sz w:val="24"/>
          <w:szCs w:val="24"/>
          <w:color w:val="auto"/>
        </w:rPr>
      </w:pPr>
    </w:p>
    <w:p>
      <w:pPr>
        <w:ind w:left="3120"/>
        <w:spacing w:after="0"/>
        <w:tabs>
          <w:tab w:leader="none" w:pos="6520" w:val="left"/>
        </w:tabs>
        <w:rPr>
          <w:sz w:val="20"/>
          <w:szCs w:val="20"/>
          <w:color w:val="auto"/>
        </w:rPr>
      </w:pPr>
      <w:r>
        <w:rPr>
          <w:rFonts w:ascii="Times New Roman" w:cs="Times New Roman" w:eastAsia="Times New Roman" w:hAnsi="Times New Roman"/>
          <w:sz w:val="18"/>
          <w:szCs w:val="18"/>
          <w:color w:val="auto"/>
        </w:rPr>
        <w:t>Exchange Act of 1934 (Amendment No.</w:t>
      </w:r>
      <w:r>
        <w:rPr>
          <w:sz w:val="20"/>
          <w:szCs w:val="20"/>
          <w:color w:val="auto"/>
        </w:rPr>
        <w:tab/>
      </w:r>
      <w:r>
        <w:rPr>
          <w:rFonts w:ascii="Times New Roman" w:cs="Times New Roman" w:eastAsia="Times New Roman" w:hAnsi="Times New Roman"/>
          <w:sz w:val="18"/>
          <w:szCs w:val="18"/>
          <w:color w:val="auto"/>
        </w:rPr>
        <w:t>)</w:t>
      </w:r>
    </w:p>
    <w:p>
      <w:pPr>
        <w:spacing w:after="0" w:line="8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00" w:hanging="396"/>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400" w:hanging="396"/>
        <w:spacing w:after="0"/>
        <w:tabs>
          <w:tab w:leader="none" w:pos="4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00" w:hanging="396"/>
        <w:spacing w:after="0"/>
        <w:tabs>
          <w:tab w:leader="none" w:pos="4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12"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36"/>
          <w:szCs w:val="36"/>
          <w:b w:val="1"/>
          <w:bCs w:val="1"/>
          <w:color w:val="auto"/>
        </w:rPr>
        <w:t>CHICAGO ATLANTIC BDC,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65405</wp:posOffset>
            </wp:positionV>
            <wp:extent cx="6172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92"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333"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31" w:lineRule="exact"/>
        <w:rPr>
          <w:sz w:val="24"/>
          <w:szCs w:val="24"/>
          <w:color w:val="auto"/>
        </w:rPr>
      </w:pPr>
    </w:p>
    <w:p>
      <w:pPr>
        <w:ind w:left="400" w:hanging="396"/>
        <w:spacing w:after="0"/>
        <w:tabs>
          <w:tab w:leader="none" w:pos="4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400" w:hanging="396"/>
        <w:spacing w:after="0"/>
        <w:tabs>
          <w:tab w:leader="none" w:pos="4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00" w:hanging="396"/>
        <w:spacing w:after="0"/>
        <w:tabs>
          <w:tab w:leader="none" w:pos="4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1023620</wp:posOffset>
            </wp:positionV>
            <wp:extent cx="703770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255905</wp:posOffset>
            </wp:positionV>
            <wp:extent cx="6172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273050</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379"/>
          </w:cols>
          <w:pgMar w:left="1080" w:top="1137"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3079750</wp:posOffset>
            </wp:positionH>
            <wp:positionV relativeFrom="page">
              <wp:posOffset>715010</wp:posOffset>
            </wp:positionV>
            <wp:extent cx="1388745" cy="1191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388745"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600 Madison Avenue, Suite 1800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139"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color w:val="auto"/>
        </w:rPr>
        <w:t>April 29,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44"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You are cordially invited to participate in the virtual annual meeting of stockholders of Chicago Atlantic BDC, Inc., formerly Silver Spike Investment Corp., (the “Company”) to be held on June 24, 2026 at 10:00 a.m. Eastern Time (the “Annual Meeting”). The live webcast will be accessible at www.virtualshareholdermeeting.com/LIEN2026. By accessing such live webcast, you will be able to participate in the Annual Meeting, including by voting and submitting questions.</w:t>
      </w:r>
    </w:p>
    <w:p>
      <w:pPr>
        <w:spacing w:after="0" w:line="108"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very important! Your immediate response will help avoid potential delays and may save the Company significant additional expenses associated with soliciting stockholder votes.</w:t>
      </w:r>
    </w:p>
    <w:p>
      <w:pPr>
        <w:spacing w:after="0" w:line="9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Notice of the Annual Meeting and the proxy statement (the “Proxy Statement”) accompanying this letter provide an outline of the business to be conducted at the meeting. The Annual Meeting is being held for the following purposes:</w:t>
      </w:r>
    </w:p>
    <w:p>
      <w:pPr>
        <w:spacing w:after="0" w:line="54" w:lineRule="exact"/>
        <w:rPr>
          <w:sz w:val="20"/>
          <w:szCs w:val="20"/>
          <w:color w:val="auto"/>
        </w:rPr>
      </w:pPr>
    </w:p>
    <w:p>
      <w:pPr>
        <w:ind w:left="880" w:hanging="436"/>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re-election of the following members of the board of directors (the "Board") of the Company:</w:t>
      </w:r>
    </w:p>
    <w:p>
      <w:pPr>
        <w:spacing w:after="0" w:line="117" w:lineRule="exact"/>
        <w:rPr>
          <w:rFonts w:ascii="Times New Roman" w:cs="Times New Roman" w:eastAsia="Times New Roman" w:hAnsi="Times New Roman"/>
          <w:sz w:val="18"/>
          <w:szCs w:val="18"/>
          <w:color w:val="auto"/>
        </w:rPr>
      </w:pPr>
    </w:p>
    <w:p>
      <w:pPr>
        <w:ind w:left="1320" w:hanging="435"/>
        <w:spacing w:after="0" w:line="282" w:lineRule="auto"/>
        <w:tabs>
          <w:tab w:leader="none" w:pos="13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Americo Da Corte as a Class 2 member of the Board to serve until the 2029 annual meeting of stockholders and until his successor is duly elected and qualified; and</w:t>
      </w:r>
    </w:p>
    <w:p>
      <w:pPr>
        <w:spacing w:after="0" w:line="53" w:lineRule="exact"/>
        <w:rPr>
          <w:rFonts w:ascii="Times New Roman" w:cs="Times New Roman" w:eastAsia="Times New Roman" w:hAnsi="Times New Roman"/>
          <w:sz w:val="18"/>
          <w:szCs w:val="18"/>
          <w:color w:val="auto"/>
        </w:rPr>
      </w:pPr>
    </w:p>
    <w:p>
      <w:pPr>
        <w:ind w:left="1320" w:hanging="435"/>
        <w:spacing w:after="0" w:line="282" w:lineRule="auto"/>
        <w:tabs>
          <w:tab w:leader="none" w:pos="13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Tracey Brophy Warson as a Class 2 member of the Board to serve until the 2029 annual meeting of stockholders and until her successor is duly elected and qualified.</w:t>
      </w:r>
    </w:p>
    <w:p>
      <w:pPr>
        <w:spacing w:after="0" w:line="53"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BDO USA, P.C. to serve as the Company’s independent registered public accounting firm for the fiscal year ending December 31, 2026; and</w:t>
      </w:r>
    </w:p>
    <w:p>
      <w:pPr>
        <w:spacing w:after="0" w:line="53"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postponement or adjournment thereof.</w:t>
      </w:r>
    </w:p>
    <w:p>
      <w:pPr>
        <w:spacing w:after="0" w:line="77"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that you vote FOR each of the proposals to be considered and voted on at the Annual Meeting.</w:t>
      </w:r>
    </w:p>
    <w:p>
      <w:pPr>
        <w:spacing w:after="0" w:line="9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Company has elected to provide access to its proxy materials to certain of its stockholders over the internet under the U.S. Securities and Exchange Commission’s “notice and access” rules. On or about May 4, 2026, the Company intends to mail to most of its stockholders a Notice of Internet Availability of Proxy Materials containing instructions on how to access the Proxy Statement and the annual report on Form 10-K for the fiscal year ended December 31, 2025 (the “Annual Report”), and how to submit proxies by telephone or through the internet. All other stockholders will receive a copy of the Proxy Statement and the Annual Report by mail. The Notice of Internet Availability of Proxy Materials also contains instructions on how you can elect to receive a printed copy of the Proxy Statement and the Annual Report. The Company believes that providing its proxy materials over the internet will expedite stockholders’ receipt of proxy materials, lower the costs associated with the Annual Meeting and conserve resources.</w:t>
      </w:r>
    </w:p>
    <w:p>
      <w:pPr>
        <w:spacing w:after="0" w:line="124"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It is important that your shares of the Company’s common stock, par value $0.01 per share, be represented at the Annual Meeting. Whether or not you expect to participate in the meeting virtually through the live webcast, we urge you to follow the instructions printed on the Notice of Internet Availability of Proxy Materials or the proxy card to authorize a proxy vote by telephone or through the internet, or complete, date and sign the enclosed proxy card and promptly return it in the envelope provided.</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Your vote and participation in the governance of the Company are very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758825</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440" w:right="1099" w:bottom="1440" w:gutter="0" w:footer="0" w:header="0"/>
        </w:sectPr>
      </w:pPr>
    </w:p>
    <w:bookmarkStart w:id="2" w:name="page3"/>
    <w:bookmarkEnd w:id="2"/>
    <w:p>
      <w:pPr>
        <w:ind w:left="448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Scott Gordon</w:t>
      </w:r>
    </w:p>
    <w:p>
      <w:pPr>
        <w:spacing w:after="0" w:line="2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i w:val="1"/>
          <w:iCs w:val="1"/>
          <w:color w:val="auto"/>
        </w:rPr>
        <w:t>Executive Chairman and Co-Chief Investment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2273935</wp:posOffset>
            </wp:positionH>
            <wp:positionV relativeFrom="paragraph">
              <wp:posOffset>83185</wp:posOffset>
            </wp:positionV>
            <wp:extent cx="1637030" cy="1405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37030"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18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600 Madison Avenue, Suite 1800</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Be Held On June 24,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Stockholders of Chicago Atlantic BDC, Inc.:</w:t>
      </w:r>
    </w:p>
    <w:p>
      <w:pPr>
        <w:spacing w:after="0" w:line="14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NOTICE IS HEREBY GIVEN THAT the virtual annual meeting of stockholders of Chicago Atlantic BDC, Inc., formerly Silver Spike Investment Corp., a Maryland corporation (the “Company”), will be held on June 24, 2026 at 10:00 a.m. Eastern Time (the “Annual Meeting”). The live webcast will be accessible at www.virtualshareholdermeeting.com/LIEN2026. By accessing such live webcast, you will be able to participate in the Annual Meeting, including by voting and submitting questions.</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Annual Meeting will be held for the following purposes:</w:t>
      </w:r>
    </w:p>
    <w:p>
      <w:pPr>
        <w:spacing w:after="0" w:line="117" w:lineRule="exact"/>
        <w:rPr>
          <w:sz w:val="20"/>
          <w:szCs w:val="20"/>
          <w:color w:val="auto"/>
        </w:rPr>
      </w:pPr>
    </w:p>
    <w:p>
      <w:pPr>
        <w:ind w:left="880" w:hanging="436"/>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re-election of the following members of the board of directors (the "Board") of the Company:</w:t>
      </w:r>
    </w:p>
    <w:p>
      <w:pPr>
        <w:spacing w:after="0" w:line="117" w:lineRule="exact"/>
        <w:rPr>
          <w:rFonts w:ascii="Times New Roman" w:cs="Times New Roman" w:eastAsia="Times New Roman" w:hAnsi="Times New Roman"/>
          <w:sz w:val="18"/>
          <w:szCs w:val="18"/>
          <w:color w:val="auto"/>
        </w:rPr>
      </w:pPr>
    </w:p>
    <w:p>
      <w:pPr>
        <w:ind w:left="1320" w:right="20" w:hanging="435"/>
        <w:spacing w:after="0" w:line="282" w:lineRule="auto"/>
        <w:tabs>
          <w:tab w:leader="none" w:pos="13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Americo Da Corte as a Class 2 member of the Board to serve until the 2029 annual meeting of stockholders and until his successor is duly elected and qualified; and</w:t>
      </w:r>
    </w:p>
    <w:p>
      <w:pPr>
        <w:spacing w:after="0" w:line="53" w:lineRule="exact"/>
        <w:rPr>
          <w:rFonts w:ascii="Times New Roman" w:cs="Times New Roman" w:eastAsia="Times New Roman" w:hAnsi="Times New Roman"/>
          <w:sz w:val="18"/>
          <w:szCs w:val="18"/>
          <w:color w:val="auto"/>
        </w:rPr>
      </w:pPr>
    </w:p>
    <w:p>
      <w:pPr>
        <w:ind w:left="1320" w:right="920" w:hanging="435"/>
        <w:spacing w:after="0" w:line="282" w:lineRule="auto"/>
        <w:tabs>
          <w:tab w:leader="none" w:pos="13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Tracey Brophy Warson as a Class 2 member of the Board to serve until the 2029 annual meeting of stockholders and until her successor is duly elected and qualified.</w:t>
      </w:r>
    </w:p>
    <w:p>
      <w:pPr>
        <w:spacing w:after="0" w:line="94"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BDO USA, P.C. to serve as the Company’s independent registered public accounting firm for the fiscal year ending December 31, 2026; and</w:t>
      </w:r>
    </w:p>
    <w:p>
      <w:pPr>
        <w:spacing w:after="0" w:line="80"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postponement or adjournment thereof.</w:t>
      </w:r>
    </w:p>
    <w:p>
      <w:pPr>
        <w:spacing w:after="0" w:line="94"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Board has fixed the close of business on April 27, 2026 as the record date (the “Record Date”) for the determination of stockholders entitled to notice of, and to vote at, the Annual Meeting and adjournments or postponements thereof.</w:t>
      </w:r>
    </w:p>
    <w:p>
      <w:pPr>
        <w:spacing w:after="0" w:line="90"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w:t>
      </w:r>
      <w:r>
        <w:rPr>
          <w:rFonts w:ascii="Times New Roman" w:cs="Times New Roman" w:eastAsia="Times New Roman" w:hAnsi="Times New Roman"/>
          <w:sz w:val="18"/>
          <w:szCs w:val="18"/>
          <w:color w:val="auto"/>
        </w:rPr>
        <w:t>The Company’s proxy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proxy card, and the Company’s annual report on Form 10-K for the fiscal year ended December 31, 2025 (the “Annual Report”) are available online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or the U.S. Securities and Exchange Commission’s EDGAR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information applicable to the Annual Meeting may be found in the Company’s proxy statement and the accompanying proxy card:</w:t>
      </w:r>
    </w:p>
    <w:p>
      <w:pPr>
        <w:spacing w:after="0" w:line="94" w:lineRule="exact"/>
        <w:rPr>
          <w:sz w:val="20"/>
          <w:szCs w:val="20"/>
          <w:color w:val="auto"/>
        </w:rPr>
      </w:pPr>
    </w:p>
    <w:p>
      <w:pPr>
        <w:ind w:left="880" w:hanging="436"/>
        <w:spacing w:after="0" w:line="282"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and time of the Annual Meeting and instructions on how to participate in and vote at the Annual Meeting virtually through the live webcast;</w:t>
      </w:r>
    </w:p>
    <w:p>
      <w:pPr>
        <w:spacing w:after="0" w:line="94"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the matters intended to be acted on and the Company’s recommendations regarding those matters; and</w:t>
      </w:r>
    </w:p>
    <w:p>
      <w:pPr>
        <w:spacing w:after="0" w:line="144"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control/identification numbers that you need to access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621665</wp:posOffset>
            </wp:positionV>
            <wp:extent cx="70377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01" w:right="1099" w:bottom="1440" w:gutter="0" w:footer="0" w:header="0"/>
        </w:sectPr>
      </w:pPr>
    </w:p>
    <w:bookmarkStart w:id="3" w:name="page4"/>
    <w:bookmarkEnd w:id="3"/>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Whether or not you expect to participate in the meeting virtually through the live webcast, we urge you to follow the instructions printed on the Notice of Internet Availability of Proxy Materials or the proxy card to authorize a proxy vote by telephone or through the internet, or complete, date and sign the enclosed proxy card and promptly return it in the envelope provided.</w:t>
      </w:r>
    </w:p>
    <w:p>
      <w:pPr>
        <w:spacing w:after="0" w:line="29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32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Scott Gordon</w:t>
      </w:r>
    </w:p>
    <w:p>
      <w:pPr>
        <w:spacing w:after="0" w:line="3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i w:val="1"/>
          <w:iCs w:val="1"/>
          <w:color w:val="auto"/>
        </w:rPr>
        <w:t>Executive Chairman and Co-Chief Investment Officer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135"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b w:val="1"/>
          <w:bCs w:val="1"/>
          <w:color w:val="auto"/>
        </w:rPr>
        <w:t>Stockholders are requested to promptly authorize a proxy vote by telephone or through the internet, or execute and return promptly the accompanying proxy card, which is being solicited by the Board. You may authorize a proxy by telephone or through the internet by following the instructions in the Notice of Internet Availability of Proxy Materials or the proxy card. You may execute the proxy card using the methods described in the proxy card. Executing the proxy card is important to ensure a quorum at the Annual Meeting. Proxies may be revoked at any time before they are exercised by submitting a written notice of revocation or a subsequently executed proxy, or by participating in the Annual Meeting and voting virtually through the live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597535</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34" w:right="109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2959735</wp:posOffset>
            </wp:positionH>
            <wp:positionV relativeFrom="page">
              <wp:posOffset>637540</wp:posOffset>
            </wp:positionV>
            <wp:extent cx="1637030" cy="1405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637030"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600 Madison Avenue, Suite 1800</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16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8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Be Held On June 24, 2026</w:t>
      </w:r>
    </w:p>
    <w:p>
      <w:pPr>
        <w:spacing w:after="0" w:line="17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QUESTIONS AND ANSWERS ABOUT THE ANNUAL MEETING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date of the Annual Meeting, where will it be held, and how can I participate virtually?</w:t>
      </w:r>
    </w:p>
    <w:p>
      <w:pPr>
        <w:spacing w:after="0" w:line="14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annual meeting (the “Annual Meeting”) of stockholders of Chicago Atlantic BDC, Inc. (“we”, “us”, “our” or the “Company”) will be held virtually on June 24, 2026 at 10:00 a.m. Eastern Time. The Annual Meeting will be held solely on the internet by virtual means through a live webcast. By accessing such live webcast, you will be able to participate in the Annual Meeting, including by voting and submitting questions.</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live webcast of the Annual Meeting will be accessible at www.virtualshareholdermeeting.com/LIEN2026.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will I be voting on at the Annual Meeting?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the Annual Meeting, stockholders will be asked to:</w:t>
      </w:r>
    </w:p>
    <w:p>
      <w:pPr>
        <w:spacing w:after="0" w:line="117" w:lineRule="exact"/>
        <w:rPr>
          <w:sz w:val="20"/>
          <w:szCs w:val="20"/>
          <w:color w:val="auto"/>
        </w:rPr>
      </w:pPr>
    </w:p>
    <w:p>
      <w:pPr>
        <w:ind w:left="880" w:hanging="436"/>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re-elect the following members of the board of directors (the "Board") of the Company:</w:t>
      </w:r>
    </w:p>
    <w:p>
      <w:pPr>
        <w:spacing w:after="0" w:line="117" w:lineRule="exact"/>
        <w:rPr>
          <w:rFonts w:ascii="Times New Roman" w:cs="Times New Roman" w:eastAsia="Times New Roman" w:hAnsi="Times New Roman"/>
          <w:sz w:val="18"/>
          <w:szCs w:val="18"/>
          <w:color w:val="auto"/>
        </w:rPr>
      </w:pPr>
    </w:p>
    <w:p>
      <w:pPr>
        <w:ind w:left="1320" w:hanging="435"/>
        <w:spacing w:after="0" w:line="282" w:lineRule="auto"/>
        <w:tabs>
          <w:tab w:leader="none" w:pos="13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Americo Da Corte as a Class 2 member of the Board to serve until the 2029 annual meeting of stockholders and until his successor is duly elected and qualified; and</w:t>
      </w:r>
    </w:p>
    <w:p>
      <w:pPr>
        <w:spacing w:after="0" w:line="53" w:lineRule="exact"/>
        <w:rPr>
          <w:rFonts w:ascii="Times New Roman" w:cs="Times New Roman" w:eastAsia="Times New Roman" w:hAnsi="Times New Roman"/>
          <w:sz w:val="18"/>
          <w:szCs w:val="18"/>
          <w:color w:val="auto"/>
        </w:rPr>
      </w:pPr>
    </w:p>
    <w:p>
      <w:pPr>
        <w:ind w:left="1320" w:hanging="435"/>
        <w:spacing w:after="0" w:line="282" w:lineRule="auto"/>
        <w:tabs>
          <w:tab w:leader="none" w:pos="13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Tracey Brophy Warson as a Class 2 member of the Board to serve until the 2029 annual meeting of stockholders and until her successor is duly elected and qualified; and</w:t>
      </w:r>
    </w:p>
    <w:p>
      <w:pPr>
        <w:spacing w:after="0" w:line="53" w:lineRule="exact"/>
        <w:rPr>
          <w:rFonts w:ascii="Times New Roman" w:cs="Times New Roman" w:eastAsia="Times New Roman" w:hAnsi="Times New Roman"/>
          <w:sz w:val="18"/>
          <w:szCs w:val="18"/>
          <w:color w:val="auto"/>
        </w:rPr>
      </w:pPr>
    </w:p>
    <w:p>
      <w:pPr>
        <w:ind w:left="880" w:right="240" w:hanging="436"/>
        <w:spacing w:after="0" w:line="282"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selection of BDO USA, P.C. to serve as the Company’s independent registered public accounting firm for the fiscal year ending December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4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Only stockholders of record as of the close of business on April 27, 2026 (the “Record Date”) are entitled to notice of, and to vote at, the Annual Meeting and any postponements or adjournments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6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Holders of the Company’s common stock are entitled to one vote for each share of the Company's common stock, par value $0.01 per share ("Share") held as of the Record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may I participate in and vote at the Annual Meeting?</w:t>
      </w:r>
    </w:p>
    <w:p>
      <w:pPr>
        <w:spacing w:after="0" w:line="158" w:lineRule="exact"/>
        <w:rPr>
          <w:sz w:val="20"/>
          <w:szCs w:val="20"/>
          <w:color w:val="auto"/>
        </w:rPr>
      </w:pPr>
    </w:p>
    <w:p>
      <w:pPr>
        <w:jc w:val="both"/>
        <w:ind w:firstLine="441"/>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Virtually at the Annual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will be hosting the Annual Meeting live via webcast. Any stockholder can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participate in the Annual Meeting live online at www.virtualshareholdermeeting.com/LIEN2026. If you were a stockholder as of the Record Date, or you hold a valid proxy for the Annual Meeting from a stockholder as of the Record Date, you can vote at the Annual Meeting. A summary of the information you need to attend the Annual Meeting online is provided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440" w:right="1099" w:bottom="1440" w:gutter="0" w:footer="0" w:header="0"/>
        </w:sectPr>
      </w:pPr>
    </w:p>
    <w:bookmarkStart w:id="5" w:name="page6"/>
    <w:bookmarkEnd w:id="5"/>
    <w:p>
      <w:pPr>
        <w:ind w:left="880" w:hanging="436"/>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Instructions on how to attend and participate via the internet, including how to demonstrate proof of stock ownership, are posted at </w:t>
      </w:r>
      <w:r>
        <w:rPr>
          <w:rFonts w:ascii="Times New Roman" w:cs="Times New Roman" w:eastAsia="Times New Roman" w:hAnsi="Times New Roman"/>
          <w:sz w:val="18"/>
          <w:szCs w:val="18"/>
          <w:i w:val="1"/>
          <w:iCs w:val="1"/>
          <w:color w:val="auto"/>
        </w:rPr>
        <w:t>www.proxyvote.com.</w:t>
      </w:r>
    </w:p>
    <w:p>
      <w:pPr>
        <w:spacing w:after="0" w:line="53"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Assistance with questions regarding how to attend and participate via the Internet will be provided at www.virtualshareholdermeeting.com/LIEN2026, 30 minutes before the start of the virtual Annual Meeting.</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Webcast starts at 10:00 a.m. Eastern Time.</w:t>
      </w:r>
    </w:p>
    <w:p>
      <w:pPr>
        <w:spacing w:after="0" w:line="117"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need your control number located on your Notice of Internet Availability of Proxy Materials or proxy card to enter the Annual Meeting.</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may submit questions while attending the Annual Meeting via the internet.</w:t>
      </w:r>
    </w:p>
    <w:p>
      <w:pPr>
        <w:spacing w:after="0" w:line="158"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To participate in the Annual Meeting, you will need the control number located on your Notice of Internet Availability of Proxy Materials or proxy card. If you lose your control number, you may join the Annual Meeting as a “Guest,” but you will not be able to vote, ask questions or access the list of stockholders as of the Record Date. The Company will have technicians ready to assist with any technical difficulties stockholders may have accessing the virtual meeting website. If you encounter any difficulties accessing the virtual meeting website during the check-in or meeting time, please call the technical support number that will be posted on the Annual Meeting login page.</w:t>
      </w:r>
    </w:p>
    <w:p>
      <w:pPr>
        <w:spacing w:after="0" w:line="106"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through a bank, broker or other nominee, in order to vote during the live webcast of the Annual Meeting you must first obtain a “legal proxy” from your bank, broker or other nominee and register with Broadridge Financial Solutions, Inc., as described below, in order for you to participate in the live webcast of the Annual Meeting. You then may vote by following the instructions provided to you. Please refer to “General Information About the Annual Meeting — Voting” below.</w:t>
      </w:r>
    </w:p>
    <w:p>
      <w:pPr>
        <w:spacing w:after="0" w:line="108" w:lineRule="exact"/>
        <w:rPr>
          <w:sz w:val="20"/>
          <w:szCs w:val="20"/>
          <w:color w:val="auto"/>
        </w:rPr>
      </w:pPr>
    </w:p>
    <w:p>
      <w:pPr>
        <w:jc w:val="both"/>
        <w:ind w:firstLine="441"/>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By Proxy by Telephone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authorize a proxy by telephone by following the telephone voting instructions included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Notice of Internet Availability of Proxy Materials or proxy card. Most stockholders who hold Shares beneficially in “street name” may provide voting instructions by telephone by calling the number specified on the voting instruction form provided by their brokers, banks or nominees. Please check the voting instruction form for telephone voting availability.</w:t>
      </w:r>
    </w:p>
    <w:p>
      <w:pPr>
        <w:spacing w:after="0" w:line="113"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Authorizing a proxy by telephone requires you to input the control number located on your Notice of Internet Availability of Proxy Materials or proxy card. After inputting the control number, you will be prompted to direct your proxy to vote on each proposal. You will have an opportunity to review your directions and make any necessary changes before submitting your directions and terminating the telephone call. Please be aware that if you submit voting instructions by telephone, you may incur costs such as telephone access charges for which you will be responsible. The telephone voting facilities will close at 11:59 p.m. Eastern Time on June 23, 2026, the day before the Annual Meeting date.</w:t>
      </w:r>
    </w:p>
    <w:p>
      <w:pPr>
        <w:spacing w:after="0" w:line="102"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By Proxy through the Internet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authorize a proxy through the internet using the web address included in your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Internet Availability of Proxy Materials or proxy card.</w:t>
      </w:r>
    </w:p>
    <w:p>
      <w:pPr>
        <w:spacing w:after="0" w:line="9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Authorizing a proxy through the internet requires you to input the control number located on your Notice of Internet Availability of Proxy Materials or proxy card. After inputting the control number, you will be prompted to direct your proxy to vote on each proposal. You will have an opportunity to review your directions and make any necessary changes before submitting your directions and terminating the internet link.</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By Proxy through the Mail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voting by proxy and mailing your proxy card, you are required to:</w:t>
      </w:r>
    </w:p>
    <w:p>
      <w:pPr>
        <w:spacing w:after="0" w:line="121" w:lineRule="exact"/>
        <w:rPr>
          <w:sz w:val="20"/>
          <w:szCs w:val="20"/>
          <w:color w:val="auto"/>
        </w:rPr>
      </w:pPr>
    </w:p>
    <w:p>
      <w:pPr>
        <w:ind w:left="880" w:hanging="436"/>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 your instructions on the proxy card;</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and sign the proxy card;</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 the proxy card promptly in the envelope provided, which requires no postage if mailed in the United States; and</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sufficient time for the proxy card to be received on or before 11:59 p.m. Eastern Time on June 23,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the Board recommend voting for each proposal?</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Yes. The Board unanimously recommends that you vote “FOR” each proposal.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GENERAL INFORMATION ABOUT THE ANNUAL MEETING</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accompanying proxy is solicited on behalf of the Board for use at the Annual Meeting to be held on June 24, 2026 at 10:00 a.m. Eastern Time. The Annual Meeting will be held solely on the internet by virtual means through a live webcast. By accessing such live webcast, you will be able to participate in the Annual Meeting, including by voting and submitting questions.</w:t>
      </w:r>
    </w:p>
    <w:p>
      <w:pPr>
        <w:spacing w:after="0" w:line="108"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live webcast of the Annual Meeting will be accessible at www.virtualshareholdermeeting.com/LIEN2026 . To attend and participate in the Annual Meeting, you will need the control number located on your Notice of Internet Availability of Proxy Materials or proxy card. If you lose your control number, you may join the Annual Meeting as a “Guest,” but you will not be able to vote, ask questions or access the list of stockholders as of the Record Date. The Company will have technicians ready to assist with any technical difficulties stockholders may have accessing the virtual meeting website. If you encounter any difficulties accessing the virtual meeting website during the check-in or meeting time, please call the technical support number that will be posted on the Annual Meeting login page.</w:t>
      </w:r>
    </w:p>
    <w:p>
      <w:pPr>
        <w:spacing w:after="0" w:line="108"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Only holders of record of our common stock at the close of business on April 27, 2026, which is the Record Date, will be entitled to vote at the Annual Meeting. At the close of business on the Record Date, we had 22,820,590 Shares outstanding and entitled to vote. This proxy statement, including the accompanying form of proxy (collectively, this “Proxy Statement”), or a Notice of Internet Availability of Proxy Materials containing instructions on how to access this Proxy Statement and the Company’s annual report on Form 10-K for the fiscal year ended December 31, 2025 (the “Annual Report”) and how to submit proxies by telephone or through the internet are first being sent to stockholders on or about May 4, 2026. This Proxy Statement and the Annual Report can each be accessed online at </w:t>
      </w:r>
      <w:r>
        <w:rPr>
          <w:rFonts w:ascii="Times New Roman" w:cs="Times New Roman" w:eastAsia="Times New Roman" w:hAnsi="Times New Roman"/>
          <w:sz w:val="18"/>
          <w:szCs w:val="18"/>
          <w:i w:val="1"/>
          <w:iCs w:val="1"/>
          <w:color w:val="auto"/>
        </w:rPr>
        <w:t>www.proxyvote.com.</w:t>
      </w:r>
    </w:p>
    <w:p>
      <w:pPr>
        <w:spacing w:after="0" w:line="12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 xml:space="preserve">All proxies will be voted in accordance with the instructions contained therein. Unless contrary instructions are specified, if a proxy is properly executed and received by the Company (and not revoked) prior to the Annual Meeting, the Shares represented by the proxy will be voted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re-election of two members of the Board to serve until the 2029 annual meeting of stockholders and until his or her successor is duly elected and qualified and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selection of BDO USA, P.C. to serve as the Company’s independent registered public accounting firm for the fiscal year ending December 31,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as of the Record Date.</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Annual Meeting is being held for the following purposes:</w:t>
      </w:r>
    </w:p>
    <w:p>
      <w:pPr>
        <w:spacing w:after="0" w:line="333" w:lineRule="exact"/>
        <w:rPr>
          <w:sz w:val="20"/>
          <w:szCs w:val="20"/>
          <w:color w:val="auto"/>
        </w:rPr>
      </w:pPr>
    </w:p>
    <w:p>
      <w:pPr>
        <w:ind w:left="880" w:hanging="436"/>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re-election of the following members of the Board of the Company:</w:t>
      </w:r>
    </w:p>
    <w:p>
      <w:pPr>
        <w:spacing w:after="0" w:line="117" w:lineRule="exact"/>
        <w:rPr>
          <w:rFonts w:ascii="Times New Roman" w:cs="Times New Roman" w:eastAsia="Times New Roman" w:hAnsi="Times New Roman"/>
          <w:sz w:val="18"/>
          <w:szCs w:val="18"/>
          <w:color w:val="auto"/>
        </w:rPr>
      </w:pPr>
    </w:p>
    <w:p>
      <w:pPr>
        <w:ind w:left="1320" w:right="20" w:hanging="435"/>
        <w:spacing w:after="0" w:line="282" w:lineRule="auto"/>
        <w:tabs>
          <w:tab w:leader="none" w:pos="13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Americo Da Corte as a Class 2 member of the Board to serve until the 2029 annual meeting of stockholders and until his successor is duly elected and qualified; and</w:t>
      </w:r>
    </w:p>
    <w:p>
      <w:pPr>
        <w:spacing w:after="0" w:line="53" w:lineRule="exact"/>
        <w:rPr>
          <w:rFonts w:ascii="Times New Roman" w:cs="Times New Roman" w:eastAsia="Times New Roman" w:hAnsi="Times New Roman"/>
          <w:sz w:val="18"/>
          <w:szCs w:val="18"/>
          <w:color w:val="auto"/>
        </w:rPr>
      </w:pPr>
    </w:p>
    <w:p>
      <w:pPr>
        <w:ind w:left="1320" w:right="920" w:hanging="435"/>
        <w:spacing w:after="0" w:line="282" w:lineRule="auto"/>
        <w:tabs>
          <w:tab w:leader="none" w:pos="13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Tracey Brophy Warson as a Class 2 member of the Board to serve until the 2029 annual meeting of stockholders and until her successor is duly elected and qualified.</w:t>
      </w:r>
    </w:p>
    <w:p>
      <w:pPr>
        <w:spacing w:after="0" w:line="53"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BDO USA, P.C. to serve as the Company’s independent registered public accounting firm for the fiscal year ending December 31, 2026; and</w:t>
      </w:r>
    </w:p>
    <w:p>
      <w:pPr>
        <w:spacing w:after="0" w:line="53" w:lineRule="exact"/>
        <w:rPr>
          <w:rFonts w:ascii="Times New Roman" w:cs="Times New Roman" w:eastAsia="Times New Roman" w:hAnsi="Times New Roman"/>
          <w:sz w:val="18"/>
          <w:szCs w:val="18"/>
          <w:color w:val="auto"/>
        </w:rPr>
      </w:pPr>
    </w:p>
    <w:p>
      <w:pPr>
        <w:ind w:left="880" w:right="260" w:hanging="436"/>
        <w:spacing w:after="0" w:line="282"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postponement or adjournment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Required</w:t>
      </w:r>
    </w:p>
    <w:p>
      <w:pPr>
        <w:spacing w:after="0" w:line="162"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presence at the Annual Meeting, in person (virtually) or by proxy, of the holders of the Shares entitled to cast a majority of the votes entitled to be cast at the Annual Meeting will constitute a quorum. If you have properly voted by proxy via telephone, internet or mail, you will be considered part of the quorum. We will count “withhold” and “abstain” votes as present for the purpose of establishing a quorum for the transaction of business at the Annual Meeting.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05" w:right="10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Vote Required</w:t>
      </w:r>
    </w:p>
    <w:p>
      <w:pPr>
        <w:sectPr>
          <w:pgSz w:w="11900" w:h="16838" w:orient="portrait"/>
          <w:cols w:equalWidth="0" w:num="1">
            <w:col w:w="9680"/>
          </w:cols>
          <w:pgMar w:left="1080" w:top="1305" w:right="11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wp:posOffset>
            </wp:positionV>
            <wp:extent cx="16287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244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Broker Discretionary</w:t>
            </w:r>
          </w:p>
        </w:tc>
        <w:tc>
          <w:tcPr>
            <w:tcW w:w="21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Effect of Abstentions, Votes</w:t>
            </w:r>
          </w:p>
        </w:tc>
        <w:tc>
          <w:tcPr>
            <w:tcW w:w="0" w:type="dxa"/>
            <w:vAlign w:val="bottom"/>
          </w:tcPr>
          <w:p>
            <w:pPr>
              <w:spacing w:after="0"/>
              <w:rPr>
                <w:sz w:val="1"/>
                <w:szCs w:val="1"/>
                <w:color w:val="auto"/>
              </w:rPr>
            </w:pPr>
          </w:p>
        </w:tc>
      </w:tr>
      <w:tr>
        <w:trPr>
          <w:trHeight w:val="148"/>
        </w:trPr>
        <w:tc>
          <w:tcPr>
            <w:tcW w:w="1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Vote Required</w:t>
            </w:r>
          </w:p>
        </w:tc>
        <w:tc>
          <w:tcPr>
            <w:tcW w:w="2440" w:type="dxa"/>
            <w:vAlign w:val="bottom"/>
            <w:vMerge w:val="continue"/>
          </w:tcPr>
          <w:p>
            <w:pPr>
              <w:spacing w:after="0"/>
              <w:rPr>
                <w:sz w:val="12"/>
                <w:szCs w:val="12"/>
                <w:color w:val="auto"/>
              </w:rPr>
            </w:pPr>
          </w:p>
        </w:tc>
        <w:tc>
          <w:tcPr>
            <w:tcW w:w="2160" w:type="dxa"/>
            <w:vAlign w:val="bottom"/>
          </w:tcPr>
          <w:p>
            <w:pPr>
              <w:jc w:val="center"/>
              <w:ind w:left="388"/>
              <w:spacing w:after="0" w:line="149" w:lineRule="exact"/>
              <w:rPr>
                <w:sz w:val="20"/>
                <w:szCs w:val="20"/>
                <w:color w:val="auto"/>
              </w:rPr>
            </w:pPr>
            <w:r>
              <w:rPr>
                <w:rFonts w:ascii="Times New Roman" w:cs="Times New Roman" w:eastAsia="Times New Roman" w:hAnsi="Times New Roman"/>
                <w:sz w:val="14"/>
                <w:szCs w:val="14"/>
                <w:b w:val="1"/>
                <w:bCs w:val="1"/>
                <w:color w:val="auto"/>
              </w:rPr>
              <w:t>Withheld and Broker Non-</w:t>
            </w:r>
          </w:p>
        </w:tc>
        <w:tc>
          <w:tcPr>
            <w:tcW w:w="0" w:type="dxa"/>
            <w:vAlign w:val="bottom"/>
          </w:tcPr>
          <w:p>
            <w:pPr>
              <w:spacing w:after="0"/>
              <w:rPr>
                <w:sz w:val="1"/>
                <w:szCs w:val="1"/>
                <w:color w:val="auto"/>
              </w:rPr>
            </w:pPr>
          </w:p>
        </w:tc>
      </w:tr>
      <w:tr>
        <w:trPr>
          <w:trHeight w:val="190"/>
        </w:trPr>
        <w:tc>
          <w:tcPr>
            <w:tcW w:w="1580" w:type="dxa"/>
            <w:vAlign w:val="bottom"/>
            <w:vMerge w:val="continue"/>
          </w:tcPr>
          <w:p>
            <w:pPr>
              <w:spacing w:after="0"/>
              <w:rPr>
                <w:sz w:val="16"/>
                <w:szCs w:val="16"/>
                <w:color w:val="auto"/>
              </w:rPr>
            </w:pPr>
          </w:p>
        </w:tc>
        <w:tc>
          <w:tcPr>
            <w:tcW w:w="244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Voting Allowed</w:t>
            </w:r>
          </w:p>
        </w:tc>
        <w:tc>
          <w:tcPr>
            <w:tcW w:w="21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Votes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14605</wp:posOffset>
            </wp:positionV>
            <wp:extent cx="44062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2680" w:space="720"/>
            <w:col w:w="6280"/>
          </w:cols>
          <w:pgMar w:left="1080" w:top="1305" w:right="1139" w:bottom="1440" w:gutter="0" w:footer="0" w:header="0"/>
          <w:type w:val="continuous"/>
        </w:sect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Proposal 1 – To re-elect members of the Board of the Company as follows:</w:t>
      </w:r>
    </w:p>
    <w:p>
      <w:pPr>
        <w:spacing w:after="0" w:line="63" w:lineRule="exact"/>
        <w:rPr>
          <w:sz w:val="20"/>
          <w:szCs w:val="20"/>
          <w:color w:val="auto"/>
        </w:rPr>
      </w:pPr>
    </w:p>
    <w:p>
      <w:pPr>
        <w:ind w:left="320" w:hanging="316"/>
        <w:spacing w:after="0" w:line="257" w:lineRule="auto"/>
        <w:tabs>
          <w:tab w:leader="none" w:pos="32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Mr. Americo Da Corte as a Class 2 member of the Board to serve until the 2029 annual meeting of stockholders and until his successor is duly elected and qualified; and</w:t>
      </w:r>
    </w:p>
    <w:p>
      <w:pPr>
        <w:spacing w:after="0" w:line="74" w:lineRule="exact"/>
        <w:rPr>
          <w:rFonts w:ascii="Times New Roman" w:cs="Times New Roman" w:eastAsia="Times New Roman" w:hAnsi="Times New Roman"/>
          <w:sz w:val="18"/>
          <w:szCs w:val="18"/>
          <w:b w:val="1"/>
          <w:bCs w:val="1"/>
          <w:i w:val="1"/>
          <w:iCs w:val="1"/>
          <w:color w:val="auto"/>
        </w:rPr>
      </w:pPr>
    </w:p>
    <w:p>
      <w:pPr>
        <w:ind w:left="320" w:right="60" w:hanging="316"/>
        <w:spacing w:after="0" w:line="256" w:lineRule="auto"/>
        <w:tabs>
          <w:tab w:leader="none" w:pos="32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Ms. Tracey Brophy Warson as a Class 2 member of the Board to serve until the 2029 annual meeting of stockholders and until her successor is duly elected and qualified</w:t>
      </w:r>
    </w:p>
    <w:p>
      <w:pPr>
        <w:spacing w:after="0" w:line="23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Proposal 2 – To ratify the selection of BDO USA, P.C. to serve as the Company’s independent registered public accounting firm for the fiscal year ended December 31, 2026</w:t>
      </w:r>
    </w:p>
    <w:p>
      <w:pPr>
        <w:spacing w:after="0" w:line="20" w:lineRule="exact"/>
        <w:rPr>
          <w:sz w:val="20"/>
          <w:szCs w:val="20"/>
          <w:color w:val="auto"/>
        </w:rPr>
      </w:pPr>
      <w:r>
        <w:rPr>
          <w:sz w:val="20"/>
          <w:szCs w:val="20"/>
          <w:color w:val="auto"/>
        </w:rPr>
        <w:br w:type="column"/>
      </w:r>
    </w:p>
    <w:p>
      <w:pPr>
        <w:spacing w:after="0"/>
        <w:tabs>
          <w:tab w:leader="none" w:pos="2320" w:val="left"/>
        </w:tabs>
        <w:rPr>
          <w:sz w:val="20"/>
          <w:szCs w:val="20"/>
          <w:color w:val="auto"/>
        </w:rPr>
      </w:pPr>
      <w:r>
        <w:rPr>
          <w:rFonts w:ascii="Times New Roman" w:cs="Times New Roman" w:eastAsia="Times New Roman" w:hAnsi="Times New Roman"/>
          <w:sz w:val="18"/>
          <w:szCs w:val="18"/>
          <w:color w:val="auto"/>
        </w:rPr>
        <w:t>Affirmative vote of a</w:t>
      </w:r>
      <w:r>
        <w:rPr>
          <w:sz w:val="20"/>
          <w:szCs w:val="20"/>
          <w:color w:val="auto"/>
        </w:rPr>
        <w:tab/>
      </w:r>
      <w:r>
        <w:rPr>
          <w:rFonts w:ascii="Times New Roman" w:cs="Times New Roman" w:eastAsia="Times New Roman" w:hAnsi="Times New Roman"/>
          <w:sz w:val="18"/>
          <w:szCs w:val="18"/>
          <w:color w:val="auto"/>
        </w:rPr>
        <w:t>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plurality of the votes cast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Meeting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(virtually) or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2320" w:val="left"/>
        </w:tabs>
        <w:rPr>
          <w:sz w:val="20"/>
          <w:szCs w:val="20"/>
          <w:color w:val="auto"/>
        </w:rPr>
      </w:pPr>
      <w:r>
        <w:rPr>
          <w:rFonts w:ascii="Times New Roman" w:cs="Times New Roman" w:eastAsia="Times New Roman" w:hAnsi="Times New Roman"/>
          <w:sz w:val="18"/>
          <w:szCs w:val="18"/>
          <w:color w:val="auto"/>
        </w:rPr>
        <w:t>Affirmative vote of a</w:t>
      </w:r>
      <w:r>
        <w:rPr>
          <w:sz w:val="20"/>
          <w:szCs w:val="20"/>
          <w:color w:val="auto"/>
        </w:rPr>
        <w:tab/>
      </w:r>
      <w:r>
        <w:rPr>
          <w:rFonts w:ascii="Times New Roman" w:cs="Times New Roman" w:eastAsia="Times New Roman" w:hAnsi="Times New Roman"/>
          <w:sz w:val="18"/>
          <w:szCs w:val="18"/>
          <w:color w:val="auto"/>
        </w:rPr>
        <w:t>Yes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of the votes cast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Meeting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(virtually) or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"Withhold" votes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broker non-votes will have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effect on the result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Abstentions will have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on the result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 This proposal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considered a “routine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 accordingly,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brokers have discretionary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 to vote on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proposal without receiving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instructions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beneficial owner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 securities.</w:t>
      </w:r>
    </w:p>
    <w:p>
      <w:pPr>
        <w:spacing w:after="0" w:line="139" w:lineRule="exact"/>
        <w:rPr>
          <w:sz w:val="20"/>
          <w:szCs w:val="20"/>
          <w:color w:val="auto"/>
        </w:rPr>
      </w:pPr>
    </w:p>
    <w:p>
      <w:pPr>
        <w:sectPr>
          <w:pgSz w:w="11900" w:h="16838" w:orient="portrait"/>
          <w:cols w:equalWidth="0" w:num="3">
            <w:col w:w="2540" w:space="240"/>
            <w:col w:w="4260" w:space="720"/>
            <w:col w:w="1920"/>
          </w:cols>
          <w:pgMar w:left="1080" w:top="1305" w:right="1139" w:bottom="1440" w:gutter="0" w:footer="0" w:header="0"/>
          <w:type w:val="continuous"/>
        </w:sect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You may vote “for” or “withhold” authority to vote for the nominees in Proposal 1. The re-election of the nominees requires the affirmative vote of the plurality of votes cast at the Annual Meeting. Under a plurality vote, the nominees who receive the highest number of “for” votes will be elected, even if they receive approval from less than a majority of the votes cast. Because the nominees are running unopposed, they will be re-elected to the Board so long as a single vote is cast in favor of their election.</w:t>
      </w:r>
    </w:p>
    <w:p>
      <w:pPr>
        <w:spacing w:after="0" w:line="112"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You may vote “for” or “against,” or abstain from voting on Proposal 2. The adoption of Proposal 2 requires the affirmative vote of the majority of votes cast for the proposal at the Annual Meeting, meaning the number of Shares voted “for” the proposal must exceed the number of Shares voted “against” the proposal.</w:t>
      </w:r>
    </w:p>
    <w:p>
      <w:pPr>
        <w:spacing w:after="0" w:line="95" w:lineRule="exact"/>
        <w:rPr>
          <w:sz w:val="20"/>
          <w:szCs w:val="20"/>
          <w:color w:val="auto"/>
        </w:rPr>
      </w:pPr>
    </w:p>
    <w:p>
      <w:pPr>
        <w:ind w:right="380" w:firstLine="441"/>
        <w:spacing w:after="0" w:line="282" w:lineRule="auto"/>
        <w:rPr>
          <w:sz w:val="20"/>
          <w:szCs w:val="20"/>
          <w:color w:val="auto"/>
        </w:rPr>
      </w:pPr>
      <w:r>
        <w:rPr>
          <w:rFonts w:ascii="Times New Roman" w:cs="Times New Roman" w:eastAsia="Times New Roman" w:hAnsi="Times New Roman"/>
          <w:sz w:val="18"/>
          <w:szCs w:val="18"/>
          <w:color w:val="auto"/>
        </w:rPr>
        <w:t>The inspector of elections appointed for the Annual Meeting will separately tabulate “for” votes, “against” votes, “abstain” votes, “withhold” votes and broker non-votes.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62"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You may vote virtually at the Annual Meeting or by proxy in accordance with the instructions provided in this Proxy Statement. You also may authorize a proxy by telephone or through the internet using the information included in your Notice of Internet Availability of Proxy Materials or proxy card. See “How may I participate in and vote at the Annual Meeting?” above. Authorizing a proxy through the internet requires you to input the control number located on your Notice of Internet Availability of Proxy Materials or proxy card. After inputting the control number, you will be prompted to direct your proxy to vote on the proposals. You will have an opportunity to review your directions and make any necessary changes before submitting your directions and terminating the internet link. When voting by proxy and mailing your proxy card, you are required to:</w:t>
      </w:r>
    </w:p>
    <w:p>
      <w:pPr>
        <w:spacing w:after="0" w:line="81" w:lineRule="exact"/>
        <w:rPr>
          <w:sz w:val="20"/>
          <w:szCs w:val="20"/>
          <w:color w:val="auto"/>
        </w:rPr>
      </w:pPr>
    </w:p>
    <w:p>
      <w:pPr>
        <w:ind w:left="880" w:hanging="436"/>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 your instructions on the proxy card;</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and sign the proxy card;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1305" w:right="1139" w:bottom="1440" w:gutter="0" w:footer="0" w:header="0"/>
          <w:type w:val="continuous"/>
        </w:sectPr>
      </w:pPr>
    </w:p>
    <w:bookmarkStart w:id="8" w:name="page9"/>
    <w:bookmarkEnd w:id="8"/>
    <w:p>
      <w:pPr>
        <w:ind w:left="880" w:hanging="436"/>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 the proxy card promptly in the envelope provided, which requires no postage if mailed in the United States; and</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sufficient time for the proxy card to be received on or before 11:59 p.m. Eastern Time on June 23, 2026.</w:t>
      </w:r>
    </w:p>
    <w:p>
      <w:pPr>
        <w:spacing w:after="0" w:line="158"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18"/>
          <w:szCs w:val="18"/>
          <w:color w:val="auto"/>
        </w:rPr>
        <w:t>If your Shares of the Company’s common stock are held in “street name” through a broker, bank or other nominee, these proxy materials are being forwarded to you by your account holder, along with voting instructions. As the beneficial owner, you have the right to direct your account holder how to vote your Shares, and the account holder is required to vote your Shares in accordance with your instructions. Your broker cannot vote your Shares on your behalf without your instructions for non-routine matters. A “broker non-vote” with respect to a matter occurs when a broker, bank or other nominee holding Shares on behalf of a beneficial owner votes on some matters on the proxy card, but not on other matters, because the broker has not received voting instructions from the beneficial owner on a particular proposal and does not have discretionary authority (or declines to exercise discretionary authority) to vote the Shares on such proposal. Brokers, banks and other nominees will not have discretionary authority to vote on Proposal 1; therefore, broker non-votes may exist in connection with Proposal 1. Proposal 2, the ratification of the selection of BDO USA, P.C. as the Company’s independent registered public accounting firm for the fiscal year ending December 31, 2026, is considered a routine matter under applicable rules. Brokers, banks and other nominees may generally vote in their discretion on routine matters; therefore, no broker non-votes are expected in connection with Proposal 2. In addition, as the beneficial owner of our Shares, you are entitled to participate in the Annual Meeting. If you are a beneficial owner, however, you may not vote your Shares at the Annual Meeting unless you obtain a legal proxy executed in your favor from the account holder of your Shares.</w:t>
      </w:r>
    </w:p>
    <w:p>
      <w:pPr>
        <w:spacing w:after="0" w:line="116"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You may receive more than one proxy statement and proxy card or voting instructions form if your Shares are held through more than one account (e.g., through different account holders). Each proxy card or voting instructions form only covers those Shares held in the applicable account. If you hold Shares in more than one account, you must provide voting instructions as to all your accounts to vote all your Shares.</w:t>
      </w:r>
    </w:p>
    <w:p>
      <w:pPr>
        <w:spacing w:after="0" w:line="108" w:lineRule="exact"/>
        <w:rPr>
          <w:sz w:val="20"/>
          <w:szCs w:val="20"/>
          <w:color w:val="auto"/>
        </w:rPr>
      </w:pPr>
    </w:p>
    <w:p>
      <w:pPr>
        <w:ind w:right="200" w:firstLine="44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Whether or not you expect to participate in the Annual Meeting virtually through the live webcast, we urge you to submit a proxy to vote your Shares in advance of the Annual Meeting </w:t>
      </w:r>
      <w:r>
        <w:rPr>
          <w:rFonts w:ascii="Times New Roman" w:cs="Times New Roman" w:eastAsia="Times New Roman" w:hAnsi="Times New Roman"/>
          <w:sz w:val="18"/>
          <w:szCs w:val="18"/>
          <w:color w:val="auto"/>
        </w:rPr>
        <w:t>by (a) visiting www.proxyvote.com and following the on screen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instructions (have your Notice of Internet Availability of Proxy Materials or proxy card available when you access the webpage), or</w:t>
      </w:r>
    </w:p>
    <w:p>
      <w:pPr>
        <w:ind w:right="680" w:firstLine="4"/>
        <w:spacing w:after="0" w:line="255"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calling toll-free 1-800-690-6903 from any touch-tone phone and following the instructions (have your Notice of Internet Availability of Proxy Materials or proxy card available when you call) or (c) submitting your proxy card by mail by using the envelope provided.</w:t>
      </w:r>
    </w:p>
    <w:p>
      <w:pPr>
        <w:spacing w:after="0" w:line="118"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A stockholder may revoke any proxy that is not irrevocable by attending the Annual Meeting and voting in person (virtually) or by delivering a proxy in accordance with applicable law bearing a later date to the Corporate Secretary of the Company.</w:t>
      </w:r>
    </w:p>
    <w:p>
      <w:pPr>
        <w:spacing w:after="0" w:line="77" w:lineRule="exact"/>
        <w:rPr>
          <w:sz w:val="20"/>
          <w:szCs w:val="20"/>
          <w:color w:val="auto"/>
        </w:rPr>
      </w:pPr>
    </w:p>
    <w:p>
      <w:pPr>
        <w:ind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w:t>
      </w:r>
      <w:r>
        <w:rPr>
          <w:rFonts w:ascii="Times New Roman" w:cs="Times New Roman" w:eastAsia="Times New Roman" w:hAnsi="Times New Roman"/>
          <w:sz w:val="18"/>
          <w:szCs w:val="18"/>
          <w:color w:val="auto"/>
        </w:rPr>
        <w:t>This Proxy Statement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Annual Report are available online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The Notice of Internet Availability of Proxy Materials contains instructions on how you can elect to receive a printed copy of this Proxy Statement and the Annual Report.</w:t>
      </w:r>
    </w:p>
    <w:p>
      <w:pPr>
        <w:spacing w:after="0" w:line="103" w:lineRule="exact"/>
        <w:rPr>
          <w:sz w:val="20"/>
          <w:szCs w:val="20"/>
          <w:color w:val="auto"/>
        </w:rPr>
      </w:pPr>
    </w:p>
    <w:p>
      <w:pPr>
        <w:ind w:right="10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plan to attend the Annual Meeting and vote your Shares virtually, you will need your control number located on your proxy card or Notice of Internet Availability of Proxy Materials in order to be admitted to the Annual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and Adjournment</w:t>
      </w:r>
    </w:p>
    <w:p>
      <w:pPr>
        <w:spacing w:after="0" w:line="162" w:lineRule="exact"/>
        <w:rPr>
          <w:sz w:val="20"/>
          <w:szCs w:val="20"/>
          <w:color w:val="auto"/>
        </w:rPr>
      </w:pPr>
    </w:p>
    <w:p>
      <w:pPr>
        <w:jc w:val="both"/>
        <w:ind w:right="380" w:firstLine="441"/>
        <w:spacing w:after="0" w:line="266" w:lineRule="auto"/>
        <w:rPr>
          <w:sz w:val="20"/>
          <w:szCs w:val="20"/>
          <w:color w:val="auto"/>
        </w:rPr>
      </w:pPr>
      <w:r>
        <w:rPr>
          <w:rFonts w:ascii="Times New Roman" w:cs="Times New Roman" w:eastAsia="Times New Roman" w:hAnsi="Times New Roman"/>
          <w:sz w:val="18"/>
          <w:szCs w:val="18"/>
          <w:color w:val="auto"/>
        </w:rPr>
        <w:t>A quorum must be present at the Annual Meeting for any business to be conducted. The presence at the Annual Meeting, in person (virtually) or by proxy, of the holders of the Shares entitled to cast a majority of the votes entitled to be cast at the Annual Meeting will constitute a quorum.</w:t>
      </w:r>
    </w:p>
    <w:p>
      <w:pPr>
        <w:spacing w:after="0" w:line="95"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If a quorum is not present at the Annual Meeting, the chairman of the Annual Meeting may adjourn the Annual Meeting until a quorum is present.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Proxies for the Annual Meeting</w:t>
      </w:r>
    </w:p>
    <w:p>
      <w:pPr>
        <w:spacing w:after="0" w:line="162" w:lineRule="exact"/>
        <w:rPr>
          <w:sz w:val="20"/>
          <w:szCs w:val="20"/>
          <w:color w:val="auto"/>
        </w:rPr>
      </w:pPr>
    </w:p>
    <w:p>
      <w:pPr>
        <w:jc w:val="both"/>
        <w:ind w:right="80" w:firstLine="441"/>
        <w:spacing w:after="0" w:line="261" w:lineRule="auto"/>
        <w:rPr>
          <w:sz w:val="20"/>
          <w:szCs w:val="20"/>
          <w:color w:val="auto"/>
        </w:rPr>
      </w:pPr>
      <w:r>
        <w:rPr>
          <w:rFonts w:ascii="Times New Roman" w:cs="Times New Roman" w:eastAsia="Times New Roman" w:hAnsi="Times New Roman"/>
          <w:sz w:val="18"/>
          <w:szCs w:val="18"/>
          <w:color w:val="auto"/>
        </w:rPr>
        <w:t>The named proxies for the Annual Meeting are Peter Sack, Scott Gordon, Thomas Geoffroy, and Umesh Mahajan (or their duly authorized designees), who will follow submitted proxy voting instructions. They will vote as the Board recommends herein as to any submitted proxies that do not direct how to vote on the proposal, and will vote on any other matters properly presented at the Annual Meeting in their judgment.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of Soliciting Proxies</w:t>
      </w:r>
    </w:p>
    <w:p>
      <w:pPr>
        <w:spacing w:after="0" w:line="162"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The Company will pay the expenses of soliciting proxies to be voted at the Annual Meeting, including the cost of preparing and posting this Proxy Statement and the Annual Report to the internet, and the cost of mailing the Notice of Annual Meeting of Stockholders, the Notice of Internet Availability of Proxy Materials, and any requested proxy materials to the stockholders.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9" w:name="page10"/>
    <w:bookmarkEnd w:id="9"/>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Company has engaged Broadridge Financial Solutions, Inc., an independent shareholder services firm, to assist in the distribution of the proxy materials and the tabulation of proxies. The cost of these services is estimated to be approximately $34,000 plus reasonable out-of-pocket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48" w:lineRule="exact"/>
        <w:rPr>
          <w:sz w:val="20"/>
          <w:szCs w:val="20"/>
          <w:color w:val="auto"/>
        </w:rPr>
      </w:pPr>
    </w:p>
    <w:p>
      <w:pPr>
        <w:ind w:right="120" w:firstLine="441"/>
        <w:spacing w:after="0" w:line="255" w:lineRule="auto"/>
        <w:rPr>
          <w:sz w:val="20"/>
          <w:szCs w:val="20"/>
          <w:color w:val="auto"/>
        </w:rPr>
      </w:pPr>
      <w:r>
        <w:rPr>
          <w:rFonts w:ascii="Times New Roman" w:cs="Times New Roman" w:eastAsia="Times New Roman" w:hAnsi="Times New Roman"/>
          <w:sz w:val="18"/>
          <w:szCs w:val="18"/>
          <w:color w:val="auto"/>
        </w:rPr>
        <w:t>Any proxy given pursuant to this solicitation may be revoked by: (1) delivering a written revocation notice prior to the Annual Meeting to the Corporate Secretary of the Company; (2) submitting a later-dated proxy card, a later-dated electronic vote via the website stated on the proxy card or a later-dated vote using the toll-free telephone number stated on the proxy card; or (3) voting virtually during the Annual Meeting. If a stockholder holds Shares through a broker, bank or other nominee, the stockholder must follow the instructions received from the broker, bank or other nominee in order to revoke the voting instructions. Virtually attending the Annual Meeting does not revoke a proxy unless the stockholder also votes virtually at the Annual Meeting. Other than by these means, a proxy cannot be revoked.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 for Proxy Solicitation</w:t>
      </w:r>
    </w:p>
    <w:p>
      <w:pPr>
        <w:spacing w:after="0" w:line="162"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 xml:space="preserve">You can contact us by mail sent to the attention of the Corporate Secretary of the Company, Umesh Mahajan, at our offices located at 600 Madison Avenue, Suite 1800, New York, New York 10022. You can call us by dialing (312) 625-9295. You can access our proxy materials online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162"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The Board has fixed the close of business on April 27, 2026 as the Record Date for the determination of stockholders entitled to notice of, and to vote at, the Annual Meeting and adjournments or postponements thereof. As of the Record Date, there were 22,820,590 Shares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Internet Availability of Proxy Materials</w:t>
      </w:r>
    </w:p>
    <w:p>
      <w:pPr>
        <w:spacing w:after="0" w:line="148"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In accordance with regulations promulgated by the U.S. Securities and Exchange Commission (“SEC”), the Company has made this Proxy Statement, the Notice of Annual Meeting of Stockholders and the Annual Report available to stockholders on the internet. Stockholders may (i) access and review the Company’s proxy materials, (ii) authorize their proxies, as described in “Voting,” and/or (iii) elect to receive future proxy materials by electronic delivery, via the internet address provided below.</w:t>
      </w:r>
    </w:p>
    <w:p>
      <w:pPr>
        <w:spacing w:after="0" w:line="108" w:lineRule="exact"/>
        <w:rPr>
          <w:sz w:val="20"/>
          <w:szCs w:val="20"/>
          <w:color w:val="auto"/>
        </w:rPr>
      </w:pPr>
    </w:p>
    <w:p>
      <w:pPr>
        <w:ind w:right="72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Proxy Statement, the Notice of Annual Meeting of Stockholders and the Annual Report are available online at www.proxyvote.com</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Delivery of Proxy Materials</w:t>
      </w:r>
    </w:p>
    <w:p>
      <w:pPr>
        <w:spacing w:after="0" w:line="162"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Pursuant to the rules adopted by the SEC, the Company furnishes proxy materials by email to those stockholders who have elected to receive their proxy materials electronically. While the Company encourages stockholders to take advantage of electronic delivery of proxy materials, which helps to reduce the environmental impact of annual meetings and the cost associated with the physical printing and mailing of materials, stockholders who have elected to receive proxy materials electronically by email, as well as beneficial owners of Shares held by a broker or custodian, may request a printed set of proxy materials. The Notice of Internet Availability of Proxy Materials contains instructions on how you can elect to receive a printed copy of this Proxy Statement and the Annual Report.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34" w:right="1099" w:bottom="1440" w:gutter="0" w:footer="0" w:header="0"/>
        </w:sectPr>
      </w:pPr>
    </w:p>
    <w:bookmarkStart w:id="10" w:name="page11"/>
    <w:bookmarkEnd w:id="10"/>
    <w:p>
      <w:pPr>
        <w:ind w:left="1280"/>
        <w:spacing w:after="0"/>
        <w:rPr>
          <w:sz w:val="20"/>
          <w:szCs w:val="20"/>
          <w:color w:val="auto"/>
        </w:rPr>
      </w:pPr>
      <w:r>
        <w:rPr>
          <w:rFonts w:ascii="Times New Roman" w:cs="Times New Roman" w:eastAsia="Times New Roman" w:hAnsi="Times New Roman"/>
          <w:sz w:val="18"/>
          <w:szCs w:val="18"/>
          <w:b w:val="1"/>
          <w:bCs w:val="1"/>
          <w:color w:val="auto"/>
        </w:rPr>
        <w:t>SECURITY OWNERSHIP OF MANAGEMENT AND CERTAIN BENEFICIAL OWNERS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as of April 27, 2026, information with respect to the beneficial ownership of Shares by:</w:t>
      </w:r>
    </w:p>
    <w:p>
      <w:pPr>
        <w:spacing w:after="0" w:line="117" w:lineRule="exact"/>
        <w:rPr>
          <w:sz w:val="20"/>
          <w:szCs w:val="20"/>
          <w:color w:val="auto"/>
        </w:rPr>
      </w:pPr>
    </w:p>
    <w:p>
      <w:pPr>
        <w:ind w:left="880" w:hanging="436"/>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if any, known to us to beneficially own more than 5.0% of the outstanding Shares.</w:t>
      </w:r>
    </w:p>
    <w:p>
      <w:pPr>
        <w:spacing w:after="0" w:line="158"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Ownership information for those persons who beneficially own 5.0% or more of our Shares pursuant to these rules is based upon reports filed by such persons with the SEC and other information obtained from such persons, if available. The percentage of beneficial ownership in the following table is based on 22,820,956 shares of common stock outstanding as of April 27, 2026.</w:t>
      </w:r>
    </w:p>
    <w:p>
      <w:pPr>
        <w:spacing w:after="0" w:line="106"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Unless otherwise indicated, to our knowledge, each stockholder listed below has sole voting and/or investment power with respect to the Shares beneficially owned by the stockholder, except to the extent authority is shared by their spouses under applicable law.</w:t>
      </w:r>
    </w:p>
    <w:p>
      <w:pPr>
        <w:spacing w:after="0" w:line="108"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Our directors are divided into two groups — interested directors and independent directors. Interested directors are “interested persons” as defined in Section 2(a)(19) of the Investment Company Act of 1940, as amended (the “1940 Act”), and independent directors are all other directors.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3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of LIEN Common</w:t>
            </w:r>
          </w:p>
        </w:tc>
        <w:tc>
          <w:tcPr>
            <w:tcW w:w="100" w:type="dxa"/>
            <w:vAlign w:val="bottom"/>
          </w:tcPr>
          <w:p>
            <w:pPr>
              <w:spacing w:after="0"/>
              <w:rPr>
                <w:sz w:val="12"/>
                <w:szCs w:val="12"/>
                <w:color w:val="auto"/>
              </w:rPr>
            </w:pPr>
          </w:p>
        </w:tc>
        <w:tc>
          <w:tcPr>
            <w:tcW w:w="134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LIEN Common</w:t>
            </w:r>
          </w:p>
        </w:tc>
        <w:tc>
          <w:tcPr>
            <w:tcW w:w="0" w:type="dxa"/>
            <w:vAlign w:val="bottom"/>
          </w:tcPr>
          <w:p>
            <w:pPr>
              <w:spacing w:after="0"/>
              <w:rPr>
                <w:sz w:val="1"/>
                <w:szCs w:val="1"/>
                <w:color w:val="auto"/>
              </w:rPr>
            </w:pPr>
          </w:p>
        </w:tc>
      </w:tr>
      <w:tr>
        <w:trPr>
          <w:trHeight w:val="146"/>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4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Type of Ownership</w:t>
            </w:r>
          </w:p>
        </w:tc>
        <w:tc>
          <w:tcPr>
            <w:tcW w:w="100" w:type="dxa"/>
            <w:vAlign w:val="bottom"/>
          </w:tcPr>
          <w:p>
            <w:pPr>
              <w:spacing w:after="0"/>
              <w:rPr>
                <w:sz w:val="12"/>
                <w:szCs w:val="12"/>
                <w:color w:val="auto"/>
              </w:rPr>
            </w:pPr>
          </w:p>
        </w:tc>
        <w:tc>
          <w:tcPr>
            <w:tcW w:w="1260" w:type="dxa"/>
            <w:vAlign w:val="bottom"/>
          </w:tcPr>
          <w:p>
            <w:pPr>
              <w:jc w:val="center"/>
              <w:ind w:right="77"/>
              <w:spacing w:after="0" w:line="146" w:lineRule="exact"/>
              <w:rPr>
                <w:sz w:val="20"/>
                <w:szCs w:val="20"/>
                <w:color w:val="auto"/>
              </w:rPr>
            </w:pPr>
            <w:r>
              <w:rPr>
                <w:rFonts w:ascii="Times New Roman" w:cs="Times New Roman" w:eastAsia="Times New Roman" w:hAnsi="Times New Roman"/>
                <w:sz w:val="14"/>
                <w:szCs w:val="14"/>
                <w:b w:val="1"/>
                <w:bCs w:val="1"/>
                <w:color w:val="auto"/>
              </w:rPr>
              <w:t>Stock Owned</w:t>
            </w:r>
          </w:p>
        </w:tc>
        <w:tc>
          <w:tcPr>
            <w:tcW w:w="100" w:type="dxa"/>
            <w:vAlign w:val="bottom"/>
          </w:tcPr>
          <w:p>
            <w:pPr>
              <w:spacing w:after="0"/>
              <w:rPr>
                <w:sz w:val="12"/>
                <w:szCs w:val="12"/>
                <w:color w:val="auto"/>
              </w:rPr>
            </w:pPr>
          </w:p>
        </w:tc>
        <w:tc>
          <w:tcPr>
            <w:tcW w:w="1340" w:type="dxa"/>
            <w:vAlign w:val="bottom"/>
          </w:tcPr>
          <w:p>
            <w:pPr>
              <w:jc w:val="center"/>
              <w:ind w:right="157"/>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75"/>
        </w:trPr>
        <w:tc>
          <w:tcPr>
            <w:tcW w:w="51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bottom w:val="single" w:sz="8" w:color="auto"/>
            </w:tcBorders>
          </w:tcPr>
          <w:p>
            <w:pPr>
              <w:jc w:val="center"/>
              <w:ind w:right="37"/>
              <w:spacing w:after="0" w:line="175" w:lineRule="exact"/>
              <w:rPr>
                <w:sz w:val="20"/>
                <w:szCs w:val="20"/>
                <w:color w:val="auto"/>
              </w:rPr>
            </w:pPr>
            <w:r>
              <w:rPr>
                <w:rFonts w:ascii="Times New Roman" w:cs="Times New Roman" w:eastAsia="Times New Roman" w:hAnsi="Times New Roman"/>
                <w:sz w:val="14"/>
                <w:szCs w:val="14"/>
                <w:b w:val="1"/>
                <w:bCs w:val="1"/>
                <w:color w:val="auto"/>
                <w:w w:val="96"/>
              </w:rPr>
              <w:t>Beneficially</w:t>
            </w:r>
            <w:r>
              <w:rPr>
                <w:rFonts w:ascii="Times New Roman" w:cs="Times New Roman" w:eastAsia="Times New Roman" w:hAnsi="Times New Roman"/>
                <w:sz w:val="19"/>
                <w:szCs w:val="19"/>
                <w:b w:val="1"/>
                <w:bCs w:val="1"/>
                <w:color w:val="auto"/>
                <w:w w:val="96"/>
                <w:vertAlign w:val="superscript"/>
              </w:rPr>
              <w:t>(1)</w:t>
            </w: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Directors</w:t>
            </w: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auto"/>
              </w:rPr>
              <w:t>Scott Gordon</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 and Indirect</w:t>
            </w:r>
          </w:p>
        </w:tc>
        <w:tc>
          <w:tcPr>
            <w:tcW w:w="136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2,922,228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w:t>
            </w: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Michael W. Chorske</w:t>
            </w:r>
          </w:p>
        </w:tc>
        <w:tc>
          <w:tcPr>
            <w:tcW w:w="1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2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Americo Da Corte</w:t>
            </w: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Supurna VedBrat</w:t>
            </w:r>
          </w:p>
        </w:tc>
        <w:tc>
          <w:tcPr>
            <w:tcW w:w="1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2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Tracey Brophy Warson</w:t>
            </w: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Who Are Not Directors</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Dino Colonna</w:t>
            </w: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Direct</w:t>
            </w:r>
          </w:p>
        </w:tc>
        <w:tc>
          <w:tcPr>
            <w:tcW w:w="13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2,430</w:t>
            </w:r>
          </w:p>
        </w:tc>
        <w:tc>
          <w:tcPr>
            <w:tcW w:w="144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Peter Sack</w:t>
            </w:r>
          </w:p>
        </w:tc>
        <w:tc>
          <w:tcPr>
            <w:tcW w:w="1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Direct</w:t>
            </w:r>
          </w:p>
        </w:tc>
        <w:tc>
          <w:tcPr>
            <w:tcW w:w="136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5,918</w:t>
            </w:r>
          </w:p>
        </w:tc>
        <w:tc>
          <w:tcPr>
            <w:tcW w:w="144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Thomas Geoffroy</w:t>
            </w: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Direct</w:t>
            </w:r>
          </w:p>
        </w:tc>
        <w:tc>
          <w:tcPr>
            <w:tcW w:w="13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413</w:t>
            </w:r>
          </w:p>
        </w:tc>
        <w:tc>
          <w:tcPr>
            <w:tcW w:w="144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Umesh Mahajan</w:t>
            </w:r>
          </w:p>
        </w:tc>
        <w:tc>
          <w:tcPr>
            <w:tcW w:w="1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Direct</w:t>
            </w:r>
          </w:p>
        </w:tc>
        <w:tc>
          <w:tcPr>
            <w:tcW w:w="136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5,924</w:t>
            </w:r>
          </w:p>
        </w:tc>
        <w:tc>
          <w:tcPr>
            <w:tcW w:w="144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Andrew Lovitt</w:t>
            </w: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Gianni Fazio</w:t>
            </w:r>
          </w:p>
        </w:tc>
        <w:tc>
          <w:tcPr>
            <w:tcW w:w="1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2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b w:val="1"/>
                <w:bCs w:val="1"/>
                <w:i w:val="1"/>
                <w:iCs w:val="1"/>
                <w:color w:val="auto"/>
              </w:rPr>
              <w:t>Executive Officers and Directors as a Group (13 persons)</w:t>
            </w:r>
            <w:r>
              <w:rPr>
                <w:rFonts w:ascii="Times New Roman" w:cs="Times New Roman" w:eastAsia="Times New Roman" w:hAnsi="Times New Roman"/>
                <w:sz w:val="24"/>
                <w:szCs w:val="24"/>
                <w:b w:val="1"/>
                <w:bCs w:val="1"/>
                <w:i w:val="1"/>
                <w:iCs w:val="1"/>
                <w:color w:val="auto"/>
                <w:vertAlign w:val="superscript"/>
              </w:rPr>
              <w:t>(3)</w:t>
            </w: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2,936,913</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5.0% Owners</w:t>
            </w: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Chicago Atlantic BDC Advisers, LLC</w:t>
            </w:r>
            <w:r>
              <w:rPr>
                <w:rFonts w:ascii="Times New Roman" w:cs="Times New Roman" w:eastAsia="Times New Roman" w:hAnsi="Times New Roman"/>
                <w:sz w:val="24"/>
                <w:szCs w:val="24"/>
                <w:color w:val="auto"/>
                <w:vertAlign w:val="superscript"/>
              </w:rPr>
              <w:t>(4)</w:t>
            </w: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Direct</w:t>
            </w:r>
          </w:p>
        </w:tc>
        <w:tc>
          <w:tcPr>
            <w:tcW w:w="13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2,887,204</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51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Silver Spike Holdings, LP</w:t>
            </w:r>
            <w:r>
              <w:rPr>
                <w:rFonts w:ascii="Times New Roman" w:cs="Times New Roman" w:eastAsia="Times New Roman" w:hAnsi="Times New Roman"/>
                <w:sz w:val="24"/>
                <w:szCs w:val="24"/>
                <w:color w:val="auto"/>
                <w:vertAlign w:val="superscript"/>
              </w:rPr>
              <w:t>(4)</w:t>
            </w:r>
          </w:p>
        </w:tc>
        <w:tc>
          <w:tcPr>
            <w:tcW w:w="1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Indirect</w:t>
            </w:r>
          </w:p>
        </w:tc>
        <w:tc>
          <w:tcPr>
            <w:tcW w:w="136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2,887,204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Silver Spike Holdings GP, LLC</w:t>
            </w:r>
            <w:r>
              <w:rPr>
                <w:rFonts w:ascii="Times New Roman" w:cs="Times New Roman" w:eastAsia="Times New Roman" w:hAnsi="Times New Roman"/>
                <w:sz w:val="24"/>
                <w:szCs w:val="24"/>
                <w:color w:val="auto"/>
                <w:vertAlign w:val="superscript"/>
              </w:rPr>
              <w:t>(4)</w:t>
            </w: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Indirect</w:t>
            </w:r>
          </w:p>
        </w:tc>
        <w:tc>
          <w:tcPr>
            <w:tcW w:w="13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2,887,204</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51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Chicago Atlantic BDC Holdings, LLC</w:t>
            </w:r>
            <w:r>
              <w:rPr>
                <w:rFonts w:ascii="Times New Roman" w:cs="Times New Roman" w:eastAsia="Times New Roman" w:hAnsi="Times New Roman"/>
                <w:sz w:val="24"/>
                <w:szCs w:val="24"/>
                <w:color w:val="auto"/>
                <w:vertAlign w:val="superscript"/>
              </w:rPr>
              <w:t>(4)</w:t>
            </w:r>
          </w:p>
        </w:tc>
        <w:tc>
          <w:tcPr>
            <w:tcW w:w="1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Indirect</w:t>
            </w:r>
          </w:p>
        </w:tc>
        <w:tc>
          <w:tcPr>
            <w:tcW w:w="136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2,887,204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Chicago Atlantic Group, LP</w:t>
            </w:r>
            <w:r>
              <w:rPr>
                <w:rFonts w:ascii="Times New Roman" w:cs="Times New Roman" w:eastAsia="Times New Roman" w:hAnsi="Times New Roman"/>
                <w:sz w:val="24"/>
                <w:szCs w:val="24"/>
                <w:color w:val="auto"/>
                <w:vertAlign w:val="superscript"/>
              </w:rPr>
              <w:t>(4)</w:t>
            </w: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Indirect</w:t>
            </w:r>
          </w:p>
        </w:tc>
        <w:tc>
          <w:tcPr>
            <w:tcW w:w="13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3,128,408</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51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Andreas Bodmeier</w:t>
            </w:r>
            <w:r>
              <w:rPr>
                <w:rFonts w:ascii="Times New Roman" w:cs="Times New Roman" w:eastAsia="Times New Roman" w:hAnsi="Times New Roman"/>
                <w:sz w:val="24"/>
                <w:szCs w:val="24"/>
                <w:color w:val="auto"/>
                <w:vertAlign w:val="superscript"/>
              </w:rPr>
              <w:t>(5)</w:t>
            </w:r>
          </w:p>
        </w:tc>
        <w:tc>
          <w:tcPr>
            <w:tcW w:w="1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 and Indirect</w:t>
            </w:r>
          </w:p>
        </w:tc>
        <w:tc>
          <w:tcPr>
            <w:tcW w:w="136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3,153,408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Anthony Cappell</w:t>
            </w:r>
            <w:r>
              <w:rPr>
                <w:rFonts w:ascii="Times New Roman" w:cs="Times New Roman" w:eastAsia="Times New Roman" w:hAnsi="Times New Roman"/>
                <w:sz w:val="24"/>
                <w:szCs w:val="24"/>
                <w:color w:val="auto"/>
                <w:vertAlign w:val="superscript"/>
              </w:rPr>
              <w:t>(6)</w:t>
            </w: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Direct and Indirect</w:t>
            </w:r>
          </w:p>
        </w:tc>
        <w:tc>
          <w:tcPr>
            <w:tcW w:w="13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3,152,824</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31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John Mazarakis</w:t>
            </w:r>
            <w:r>
              <w:rPr>
                <w:rFonts w:ascii="Times New Roman" w:cs="Times New Roman" w:eastAsia="Times New Roman" w:hAnsi="Times New Roman"/>
                <w:sz w:val="24"/>
                <w:szCs w:val="24"/>
                <w:color w:val="auto"/>
                <w:vertAlign w:val="superscript"/>
              </w:rPr>
              <w:t>(7)</w:t>
            </w:r>
          </w:p>
        </w:tc>
        <w:tc>
          <w:tcPr>
            <w:tcW w:w="1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 and Indirect</w:t>
            </w:r>
          </w:p>
        </w:tc>
        <w:tc>
          <w:tcPr>
            <w:tcW w:w="136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3,128,408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8229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Less than 1%.</w:t>
      </w:r>
    </w:p>
    <w:p>
      <w:pPr>
        <w:spacing w:after="0" w:line="73" w:lineRule="exact"/>
        <w:rPr>
          <w:sz w:val="20"/>
          <w:szCs w:val="20"/>
          <w:color w:val="auto"/>
        </w:rPr>
      </w:pPr>
    </w:p>
    <w:p>
      <w:pPr>
        <w:ind w:left="440" w:right="540" w:hanging="436"/>
        <w:spacing w:after="0" w:line="298" w:lineRule="auto"/>
        <w:tabs>
          <w:tab w:leader="none" w:pos="4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Beneficial ownership has been determined in accordance with Rule 13d-3 under the Securities Exchange Act of 1934, as amended (the “Exchange Act”).</w:t>
      </w:r>
    </w:p>
    <w:p>
      <w:pPr>
        <w:spacing w:after="0" w:line="2" w:lineRule="exact"/>
        <w:rPr>
          <w:rFonts w:ascii="Times New Roman" w:cs="Times New Roman" w:eastAsia="Times New Roman" w:hAnsi="Times New Roman"/>
          <w:sz w:val="16"/>
          <w:szCs w:val="16"/>
          <w:color w:val="auto"/>
        </w:rPr>
      </w:pPr>
    </w:p>
    <w:p>
      <w:pPr>
        <w:ind w:left="440" w:right="20" w:hanging="436"/>
        <w:spacing w:after="0" w:line="275" w:lineRule="auto"/>
        <w:tabs>
          <w:tab w:leader="none" w:pos="4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35,024 Shares held directly by Mr. Gordon and 2,887,204 Shares held indirectly through Chicago Atlantic BDC Advisers, LLC (the "Adviser"). Mr. Gordon directly (whether through ownership or position) or indirectly through one or more intermediaries, may be deemed for purposes of Section 13 of the Exchange Act to be the indirect beneficial owner of the Shares held by the Adviser. Mr. Gordon disclaims beneficial ownership of the Shares held by the Adviser except to the extent of his pecuniary interest therein.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05" w:right="1099" w:bottom="1440" w:gutter="0" w:footer="0" w:header="0"/>
        </w:sectPr>
      </w:pPr>
    </w:p>
    <w:bookmarkStart w:id="11" w:name="page12"/>
    <w:bookmarkEnd w:id="11"/>
    <w:p>
      <w:pPr>
        <w:ind w:left="440" w:right="160" w:hanging="436"/>
        <w:spacing w:after="0" w:line="298" w:lineRule="auto"/>
        <w:tabs>
          <w:tab w:leader="none" w:pos="4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for each of the directors and executive officers is c/o Chicago Atlantic BDC, Inc., 600 Madison Avenue, Suite 1800, New York, New York 10022.</w:t>
      </w:r>
    </w:p>
    <w:p>
      <w:pPr>
        <w:spacing w:after="0" w:line="2" w:lineRule="exact"/>
        <w:rPr>
          <w:rFonts w:ascii="Times New Roman" w:cs="Times New Roman" w:eastAsia="Times New Roman" w:hAnsi="Times New Roman"/>
          <w:sz w:val="16"/>
          <w:szCs w:val="16"/>
          <w:color w:val="auto"/>
        </w:rPr>
      </w:pPr>
    </w:p>
    <w:p>
      <w:pPr>
        <w:ind w:left="440" w:right="20" w:hanging="436"/>
        <w:spacing w:after="0" w:line="269" w:lineRule="auto"/>
        <w:tabs>
          <w:tab w:leader="none" w:pos="4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Shares held directly by the Adviser. Silver Spike Holdings, LP owns over 25% of the ownership interests of the Adviser. Silver Spike Holdings GP, LLC is the general partner of Silver Spike Holdings, LP. The Adviser is majority-owned by Chicago Atlantic BDC Holdings, LLC. Chicago Atlantic Group, LP is the majority-owner and managing member of Chicago Atlantic BDC Holdings, LLC. The address for each of the Adviser, Silver Spike Holdings, LP and Silver Spike Holdings GP, LLC is 600 Madison Avenue, Suite 1800, New York, New York 10022. The address for each of Chicago Atlantic BDC Holdings, LLC and Chicago Atlantic Group, LP is 420 North Wabash Avenue, Suite 500, Chicago, Illinois 60611. Each of Silver Spike Holdings, LP, Silver Spike Holdings GP, LLC, Chicago Atlantic BDC Holdings, LLC and Chicago Atlantic Group, LP disclaims beneficial ownership of the Shares held by the Adviser except to the extent of its pecuniary interest therein.</w:t>
      </w:r>
    </w:p>
    <w:p>
      <w:pPr>
        <w:spacing w:after="0" w:line="24" w:lineRule="exact"/>
        <w:rPr>
          <w:rFonts w:ascii="Times New Roman" w:cs="Times New Roman" w:eastAsia="Times New Roman" w:hAnsi="Times New Roman"/>
          <w:sz w:val="16"/>
          <w:szCs w:val="16"/>
          <w:color w:val="auto"/>
        </w:rPr>
      </w:pPr>
    </w:p>
    <w:p>
      <w:pPr>
        <w:ind w:left="440" w:hanging="436"/>
        <w:spacing w:after="0" w:line="272" w:lineRule="auto"/>
        <w:tabs>
          <w:tab w:leader="none" w:pos="4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25,000 Shares held directly by Dr. Bodmeier and 3,128,408 Shares held indirectly through the Adviser. Dr. Bodmeier directly (whether through ownership or position) or indirectly through one or more intermediaries, may be deemed for purposes of Section 13 of the Exchange Act to be the indirect beneficial owner of the Shares held by the Adviser. Dr. Bodmeier disclaims beneficial ownership of the Shares held by the Adviser except to the extent of his pecuniary interest therein. The address for Dr. Bodmeier is c/o Chicago Atlantic Group, LP, 420 North Wabash Avenue, Suite 500, Chicago, Illinois 60611.</w:t>
      </w:r>
    </w:p>
    <w:p>
      <w:pPr>
        <w:spacing w:after="0" w:line="23" w:lineRule="exact"/>
        <w:rPr>
          <w:rFonts w:ascii="Times New Roman" w:cs="Times New Roman" w:eastAsia="Times New Roman" w:hAnsi="Times New Roman"/>
          <w:sz w:val="16"/>
          <w:szCs w:val="16"/>
          <w:color w:val="auto"/>
        </w:rPr>
      </w:pPr>
    </w:p>
    <w:p>
      <w:pPr>
        <w:ind w:left="440" w:right="20" w:hanging="436"/>
        <w:spacing w:after="0" w:line="272" w:lineRule="auto"/>
        <w:tabs>
          <w:tab w:leader="none" w:pos="4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24,416 Shares held directly by Mr. Cappell and 3,128,408 Shares held indirectly through the Adviser. Mr. Cappell directly (whether through ownership or position) or indirectly through one or more intermediaries, may be deemed for purposes of Section 13 of the Exchange Act to be the indirect beneficial owner of the Shares held by the Adviser. Mr. Cappell disclaims beneficial ownership of the Shares held by the Adviser except to the extent of his pecuniary interest therein. The address for Mr. Cappell is c/o Chicago Atlantic Group, LP, 420 North Wabash Avenue, Suite 500, Chicago, Illinois 60611.</w:t>
      </w:r>
    </w:p>
    <w:p>
      <w:pPr>
        <w:spacing w:after="0" w:line="23" w:lineRule="exact"/>
        <w:rPr>
          <w:rFonts w:ascii="Times New Roman" w:cs="Times New Roman" w:eastAsia="Times New Roman" w:hAnsi="Times New Roman"/>
          <w:sz w:val="16"/>
          <w:szCs w:val="16"/>
          <w:color w:val="auto"/>
        </w:rPr>
      </w:pPr>
    </w:p>
    <w:p>
      <w:pPr>
        <w:ind w:left="440" w:right="80" w:hanging="436"/>
        <w:spacing w:after="0" w:line="272" w:lineRule="auto"/>
        <w:tabs>
          <w:tab w:leader="none" w:pos="4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3,128,408 Shares held indirectly through the Adviser. Mr. Mazarakis directly (whether through ownership or position) or indirectly through one or more intermediaries, may be deemed for purposes of Section 13 of the Exchange Act to be the indirect beneficial owner of the Shares held by the Adviser. Mr. Mazarakis disclaims beneficial ownership of the Shares held by the Adviser except to the extent of his pecuniary interest therein. The address for Mr. Mazarakis is c/o Chicago Atlantic Group, LP, 420 North Wabash Avenue, Suite 500, Chicago, Illinois 60611.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00" w:right="109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executive officers, and any persons who own 10% or more of our voting stock, to file reports of ownership and changes in ownership of our equity securities with the SEC. Directors, executive officers and 10% or more holders are required by SEC regulations to furnish us with copies of all Section 16(a) forms they file. Based solely on a review of the copies of those forms filed with the SEC, or written representations that no such forms were required, we believe that our directors, executive officers and 10% or more beneficial owners complied with all Section 16(a) filing requirements during the fiscal year ended December 31, 2025.</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981" w:right="1139" w:bottom="1440"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1: ELECTION OF DIRECTOR NOMINEES</w:t>
      </w:r>
    </w:p>
    <w:p>
      <w:pPr>
        <w:spacing w:after="0" w:line="12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At the Annual Meeting, stockholders of the Company are being asked to consider the re-election of two directors of the Company, as described below. Pursuant to the Company’s bylaws, the number of directors on the Board may not be fewer than one nor greater than fifteen. Under the Company’s Articles of Amendment and Restatement (the “Charter”), the directors are divided into three classes. Each class of directors holds office for a three-year term and until such director’s successor is duly elected and qualified.</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currently consists of five directors who serve in the following classes:</w:t>
      </w:r>
    </w:p>
    <w:p>
      <w:pPr>
        <w:spacing w:after="0" w:line="117" w:lineRule="exact"/>
        <w:rPr>
          <w:sz w:val="20"/>
          <w:szCs w:val="20"/>
          <w:color w:val="auto"/>
        </w:rPr>
      </w:pPr>
    </w:p>
    <w:p>
      <w:pPr>
        <w:ind w:left="880" w:hanging="436"/>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1— Supurna VedBrat (term ends at the 2028 annual meeting of stockholders);</w:t>
      </w:r>
    </w:p>
    <w:p>
      <w:pPr>
        <w:spacing w:after="0" w:line="117"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2—Americo Da Corte and Tracey Brophy Warson (terms end at the Annual Meeting, and, if re-elected, at the Annual Meeting, subsequent terms will end at the 2029 annual meeting of stockholders); and</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3—Michael W. Chorske and Scott Gordon (terms end at the 2027 annual meeting of stockholders).</w:t>
      </w:r>
    </w:p>
    <w:p>
      <w:pPr>
        <w:spacing w:after="0" w:line="144"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Americo Da Corte and Tracey Brophy Warson have been nominated for re-election to the Board as Class 2 directors to serve three-year terms until the 2029 annual meeting of stockholders and until his or her successor is duly elected and qualified. If Mr. Da Corte and Ms. Warson are not re-elected by stockholders at the Annual Meeting, they will remain directors until their successors are duly elected and qualified. Mr. Da Corte and Ms. Warson have agreed to serve as directors if re-elected and have consented to being named as nominees in this Proxy Statement.</w:t>
      </w:r>
    </w:p>
    <w:p>
      <w:pPr>
        <w:spacing w:after="0" w:line="112" w:lineRule="exact"/>
        <w:rPr>
          <w:sz w:val="20"/>
          <w:szCs w:val="20"/>
          <w:color w:val="auto"/>
        </w:rPr>
      </w:pPr>
    </w:p>
    <w:p>
      <w:pPr>
        <w:jc w:val="both"/>
        <w:ind w:firstLine="441"/>
        <w:spacing w:after="0" w:line="257" w:lineRule="auto"/>
        <w:rPr>
          <w:sz w:val="20"/>
          <w:szCs w:val="20"/>
          <w:color w:val="auto"/>
        </w:rPr>
      </w:pPr>
      <w:r>
        <w:rPr>
          <w:rFonts w:ascii="Times New Roman" w:cs="Times New Roman" w:eastAsia="Times New Roman" w:hAnsi="Times New Roman"/>
          <w:sz w:val="18"/>
          <w:szCs w:val="18"/>
          <w:color w:val="auto"/>
        </w:rPr>
        <w:t xml:space="preserve">A stockholder can vote for, or withhold authority to vote for, the director nominees. </w:t>
      </w:r>
      <w:r>
        <w:rPr>
          <w:rFonts w:ascii="Times New Roman" w:cs="Times New Roman" w:eastAsia="Times New Roman" w:hAnsi="Times New Roman"/>
          <w:sz w:val="18"/>
          <w:szCs w:val="18"/>
          <w:b w:val="1"/>
          <w:bCs w:val="1"/>
          <w:color w:val="auto"/>
        </w:rPr>
        <w:t>In the absence of instructions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contrary, it is the intention of the persons named as proxies to vote such proxy FOR the re-election of the director nominees named in this Proxy Statement. If the director nominees should decline or be unable to serve as directors, the persons named as proxies will vote for such other nominees as may be proposed by the Board’s Nominating and Corporate Governance Committee (the "Nominating Committee"). </w:t>
      </w:r>
      <w:r>
        <w:rPr>
          <w:rFonts w:ascii="Times New Roman" w:cs="Times New Roman" w:eastAsia="Times New Roman" w:hAnsi="Times New Roman"/>
          <w:sz w:val="18"/>
          <w:szCs w:val="18"/>
          <w:color w:val="auto"/>
        </w:rPr>
        <w:t>The Board has no reason to believe that the persons named as director nominees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unable or unwilling to serve.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6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affirmative vote of a plurality of the votes cast at the Annual Meeting in person (virtually) or by proxy is required to re-elect the director nominees to the Board. “Withhold” votes and broker non-votes, if any, will count as Shares represented at the meeting for purpose of establishing a quorum, but will have no effect on the outcome of the vote. There will be no cumulative voting with respect to the proposal.</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BOARD UNANIMOUSLY RECOMMENDS THAT YOU VOTE “FOR”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DIRECTOR NOMINEES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Director Nominees and Other Directors</w:t>
      </w:r>
    </w:p>
    <w:p>
      <w:pPr>
        <w:spacing w:after="0" w:line="14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Set forth below is information, as of April 27, 2026, regarding Mr. Da Corte and Ms. Warson, who have been nominated by the Board for re-election as directors of the Company by stockholders at the Annual Meeting, as well as information about the Company’s other current incumbent directors. Mr. Da Corte and Ms. Warson are not being proposed for re-election pursuant to any agreement or understanding between him or her, on the one hand, and the Company or any other person or entity, on the other hand, respectively.</w:t>
      </w:r>
    </w:p>
    <w:p>
      <w:pPr>
        <w:spacing w:after="0" w:line="11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information below includes specific information about each director’s experience, qualifications, attributes or skills that led the Board to the conclusion that the individuals are qualified to serve on the Board in light of the Company’s business and structure. There were no legal proceedings of the type described in Items 401(f)(7) and (8) of Regulation S-K in the past ten years against any of our directors, director nominees or officers, and none are currently pending.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Nominees for Class 2 Directors -- Terms Expiring 2029:</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1920" w:type="dxa"/>
            <w:vAlign w:val="bottom"/>
            <w:vMerge w:val="restart"/>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 of Office</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 Directorships</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Occupation(s)</w:t>
            </w:r>
          </w:p>
        </w:tc>
        <w:tc>
          <w:tcPr>
            <w:tcW w:w="124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Address and Year of Birth</w:t>
            </w:r>
            <w:r>
              <w:rPr>
                <w:rFonts w:ascii="Times New Roman" w:cs="Times New Roman" w:eastAsia="Times New Roman" w:hAnsi="Times New Roman"/>
                <w:sz w:val="19"/>
                <w:szCs w:val="19"/>
                <w:b w:val="1"/>
                <w:bCs w:val="1"/>
                <w:color w:val="auto"/>
                <w:vertAlign w:val="superscript"/>
              </w:rPr>
              <w:t>(1)</w:t>
            </w:r>
          </w:p>
        </w:tc>
        <w:tc>
          <w:tcPr>
            <w:tcW w:w="1920" w:type="dxa"/>
            <w:vAlign w:val="bottom"/>
          </w:tcPr>
          <w:p>
            <w:pPr>
              <w:jc w:val="center"/>
              <w:ind w:left="699"/>
              <w:spacing w:after="0" w:line="146" w:lineRule="exact"/>
              <w:rPr>
                <w:sz w:val="20"/>
                <w:szCs w:val="20"/>
                <w:color w:val="auto"/>
              </w:rPr>
            </w:pPr>
            <w:r>
              <w:rPr>
                <w:rFonts w:ascii="Times New Roman" w:cs="Times New Roman" w:eastAsia="Times New Roman" w:hAnsi="Times New Roman"/>
                <w:sz w:val="14"/>
                <w:szCs w:val="14"/>
                <w:b w:val="1"/>
                <w:bCs w:val="1"/>
                <w:color w:val="auto"/>
              </w:rPr>
              <w:t>held with</w:t>
            </w:r>
          </w:p>
        </w:tc>
        <w:tc>
          <w:tcPr>
            <w:tcW w:w="2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During the Past</w:t>
            </w:r>
          </w:p>
        </w:tc>
        <w:tc>
          <w:tcPr>
            <w:tcW w:w="12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and Length of</w:t>
            </w: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Held by Director or</w:t>
            </w:r>
          </w:p>
        </w:tc>
        <w:tc>
          <w:tcPr>
            <w:tcW w:w="0" w:type="dxa"/>
            <w:vAlign w:val="bottom"/>
          </w:tcPr>
          <w:p>
            <w:pPr>
              <w:spacing w:after="0"/>
              <w:rPr>
                <w:sz w:val="1"/>
                <w:szCs w:val="1"/>
                <w:color w:val="auto"/>
              </w:rPr>
            </w:pPr>
          </w:p>
        </w:tc>
      </w:tr>
      <w:tr>
        <w:trPr>
          <w:trHeight w:val="175"/>
        </w:trPr>
        <w:tc>
          <w:tcPr>
            <w:tcW w:w="2980" w:type="dxa"/>
            <w:vAlign w:val="bottom"/>
            <w:tcBorders>
              <w:bottom w:val="single" w:sz="8" w:color="auto"/>
            </w:tcBorders>
            <w:vMerge w:val="continue"/>
          </w:tcPr>
          <w:p>
            <w:pPr>
              <w:spacing w:after="0"/>
              <w:rPr>
                <w:sz w:val="15"/>
                <w:szCs w:val="15"/>
                <w:color w:val="auto"/>
              </w:rPr>
            </w:pPr>
          </w:p>
        </w:tc>
        <w:tc>
          <w:tcPr>
            <w:tcW w:w="1920" w:type="dxa"/>
            <w:vAlign w:val="bottom"/>
            <w:tcBorders>
              <w:bottom w:val="single" w:sz="8" w:color="auto"/>
            </w:tcBorders>
          </w:tcPr>
          <w:p>
            <w:pPr>
              <w:jc w:val="center"/>
              <w:ind w:left="739"/>
              <w:spacing w:after="0"/>
              <w:rPr>
                <w:sz w:val="20"/>
                <w:szCs w:val="20"/>
                <w:color w:val="auto"/>
              </w:rPr>
            </w:pPr>
            <w:r>
              <w:rPr>
                <w:rFonts w:ascii="Times New Roman" w:cs="Times New Roman" w:eastAsia="Times New Roman" w:hAnsi="Times New Roman"/>
                <w:sz w:val="14"/>
                <w:szCs w:val="14"/>
                <w:b w:val="1"/>
                <w:bCs w:val="1"/>
                <w:color w:val="auto"/>
              </w:rPr>
              <w:t>the Company</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2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9"/>
              </w:rPr>
              <w:t>Time Served</w:t>
            </w:r>
            <w:r>
              <w:rPr>
                <w:rFonts w:ascii="Times New Roman" w:cs="Times New Roman" w:eastAsia="Times New Roman" w:hAnsi="Times New Roman"/>
                <w:sz w:val="19"/>
                <w:szCs w:val="19"/>
                <w:b w:val="1"/>
                <w:bCs w:val="1"/>
                <w:color w:val="auto"/>
                <w:w w:val="99"/>
                <w:vertAlign w:val="superscript"/>
              </w:rPr>
              <w:t>(2)</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Nominee for Director</w:t>
            </w:r>
          </w:p>
        </w:tc>
        <w:tc>
          <w:tcPr>
            <w:tcW w:w="0" w:type="dxa"/>
            <w:vAlign w:val="bottom"/>
          </w:tcPr>
          <w:p>
            <w:pPr>
              <w:spacing w:after="0"/>
              <w:rPr>
                <w:sz w:val="1"/>
                <w:szCs w:val="1"/>
                <w:color w:val="auto"/>
              </w:rPr>
            </w:pPr>
          </w:p>
        </w:tc>
      </w:tr>
      <w:tr>
        <w:trPr>
          <w:trHeight w:val="210"/>
        </w:trPr>
        <w:tc>
          <w:tcPr>
            <w:tcW w:w="2980" w:type="dxa"/>
            <w:vAlign w:val="bottom"/>
            <w:shd w:val="clear" w:color="auto" w:fill="CFF0FC"/>
          </w:tcPr>
          <w:p>
            <w:pPr>
              <w:spacing w:after="0"/>
              <w:rPr>
                <w:sz w:val="18"/>
                <w:szCs w:val="18"/>
                <w:color w:val="auto"/>
              </w:rPr>
            </w:pPr>
          </w:p>
        </w:tc>
        <w:tc>
          <w:tcPr>
            <w:tcW w:w="394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12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Americo Da Corte, 1950</w:t>
            </w:r>
          </w:p>
        </w:tc>
        <w:tc>
          <w:tcPr>
            <w:tcW w:w="1920" w:type="dxa"/>
            <w:vAlign w:val="bottom"/>
          </w:tcPr>
          <w:p>
            <w:pPr>
              <w:ind w:left="80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Operating Partner,</w:t>
            </w:r>
          </w:p>
        </w:tc>
        <w:tc>
          <w:tcPr>
            <w:tcW w:w="1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Class 2</w:t>
            </w:r>
          </w:p>
        </w:tc>
        <w:tc>
          <w:tcPr>
            <w:tcW w:w="15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Pegasus Capital</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since</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Advisors, LP (2/2022-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2021; Term</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Present); Founder and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expires in</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Executive Managing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Emergent</w:t>
            </w:r>
          </w:p>
        </w:tc>
        <w:tc>
          <w:tcPr>
            <w:tcW w:w="1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Holdings, LLC (2014-</w:t>
            </w:r>
          </w:p>
        </w:tc>
        <w:tc>
          <w:tcPr>
            <w:tcW w:w="1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Tracey Brophy Warson, 1962</w:t>
            </w:r>
          </w:p>
        </w:tc>
        <w:tc>
          <w:tcPr>
            <w:tcW w:w="19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Chairperson, Citi Private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2</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Independent</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Bank North America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since</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(2019-2020); Chief</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2021; Term</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InterPrivate II</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Executive Officer, Citi</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expires in</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Acquisition Corp.</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Private Bank (2014-</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(2021-2022); AlTi</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Global, Inc.</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(1/2023-Present)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8229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55" w:lineRule="exact"/>
        <w:rPr>
          <w:sz w:val="20"/>
          <w:szCs w:val="20"/>
          <w:color w:val="auto"/>
        </w:rPr>
      </w:pPr>
    </w:p>
    <w:p>
      <w:pPr>
        <w:ind w:left="440" w:hanging="436"/>
        <w:spacing w:after="0"/>
        <w:tabs>
          <w:tab w:leader="none" w:pos="4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for each director is c/o Chicago Atlantic BDC, Inc., 600 Madison Avenue, Suite 1800, New York, New York 10022.</w:t>
      </w:r>
    </w:p>
    <w:p>
      <w:pPr>
        <w:spacing w:after="0" w:line="72" w:lineRule="exact"/>
        <w:rPr>
          <w:rFonts w:ascii="Times New Roman" w:cs="Times New Roman" w:eastAsia="Times New Roman" w:hAnsi="Times New Roman"/>
          <w:sz w:val="16"/>
          <w:szCs w:val="16"/>
          <w:color w:val="auto"/>
        </w:rPr>
      </w:pPr>
    </w:p>
    <w:p>
      <w:pPr>
        <w:ind w:left="440" w:hanging="436"/>
        <w:spacing w:after="0"/>
        <w:tabs>
          <w:tab w:leader="none" w:pos="4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Directors serve for three-year terms and until their successors are duly elected and qualified.</w:t>
      </w:r>
    </w:p>
    <w:p>
      <w:pPr>
        <w:spacing w:after="0" w:line="159" w:lineRule="exact"/>
        <w:rPr>
          <w:sz w:val="20"/>
          <w:szCs w:val="20"/>
          <w:color w:val="auto"/>
        </w:rPr>
      </w:pPr>
    </w:p>
    <w:p>
      <w:pPr>
        <w:jc w:val="both"/>
        <w:ind w:firstLine="44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Americo Da Corte </w:t>
      </w:r>
      <w:r>
        <w:rPr>
          <w:rFonts w:ascii="Times New Roman" w:cs="Times New Roman" w:eastAsia="Times New Roman" w:hAnsi="Times New Roman"/>
          <w:sz w:val="18"/>
          <w:szCs w:val="18"/>
          <w:color w:val="auto"/>
        </w:rPr>
        <w:t>has served as a member of the Board since 2021. Mr. Da Corte has over four decades of experience in asset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and lending, with a focus on risk management and investments in emerging markets. From 2013 to present, Mr. Da Corte has been the Chief Operating Officer and Risk Manager for Waypoint Asset Management LLC, a boutique asset manager focused on distressed and special situations in emerging markets. Prior to joining Waypoint, Mr. Da Corte co-founded Forum Asset Management in 2001, where he was a Principal until 2012. From 1999 to 2001, Mr. Da Corte was a Managing Director of Darby Overseas Investments, and from 1990 to 1999, Mr. Da Corte was a Managing Director at ING.</w:t>
      </w:r>
    </w:p>
    <w:p>
      <w:pPr>
        <w:spacing w:after="0" w:line="105"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 believes that Mr. Da Corte’s experience in and knowledge of the financial services industry, and his experience in risk management and emerging markets, make him qualified to serve as a member of the Board.</w:t>
      </w:r>
    </w:p>
    <w:p>
      <w:pPr>
        <w:spacing w:after="0" w:line="90"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Tracey Brophy Warson </w:t>
      </w:r>
      <w:r>
        <w:rPr>
          <w:rFonts w:ascii="Times New Roman" w:cs="Times New Roman" w:eastAsia="Times New Roman" w:hAnsi="Times New Roman"/>
          <w:sz w:val="18"/>
          <w:szCs w:val="18"/>
          <w:color w:val="auto"/>
        </w:rPr>
        <w:t>has served as a member of the Board since 2021. Ms. Warson is a strategic advisor and director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in Clean Energy, AgTech, FinTech and Cannabis, and she is a private investor in a diverse portfolio of early stage businesses. Ms. Warson has more than 30 years of experience building financial services businesses. Ms. Warson was Chief Executive Officer ("CEO") of Citi Private Bank from 2014-2019, and she served as Chairperson of Citi Private Bank North America from 2019-2020. As CEO of Citi Private Bank in North America, Ms. Warson grew the business in revenues substantially, and oversaw over $230 billion in client business volume. Under her leadership and vision, Citi Private Bank North America received numerous industry recognitions and awards. Prior to her role as CEO, she was Global Market Manager for the Western U.S. from 2010 to 2014. From 2014-2018, Ms. Warson was the co-chair of Citi Women, Citi’s global strategy to focus on the advancement of women as leaders and business drivers. In this role she led the firm’s progress in pay equity, representation goal setting and in having Citi sign the Women’s Empowerment Principles of the United Nations. Before joining Citi in 2009, Ms. Warson served as a Division Executive for US Trust, Bank of America Private Wealth Management where she built and ran the Western Region. Prior to joining US Trust, she was Executive Vice President and Regional Managing Director of Private Client Services at Wells Fargo Private Bank. In this role, she was responsible for Wells Fargo’s investment management, trust, private banking, wealth planning and brokerage businesses in the Bay Area. Previously, Ms. Warson served as an Executive Vice President and Head of Sales and Distribution for Wells Fargo’s trading and sales business. Ms. Warson earned her Bachelor of Arts in Business Administration and French from the University of Minnesota. She also completed a fellowship at the Université de Tours in Tours, France. Ms. Warson became an independent director of AlTi Global, Inc., a wealth management firm, when the firm went public in January 2023. She is also President of Lahontan, a lifestyle community/country club in Tahoe and she serves on the National Board of Cradles to Crayons, a nonprofit focused on ending clothing insecurity for children in the United States.</w:t>
      </w:r>
    </w:p>
    <w:p>
      <w:pPr>
        <w:spacing w:after="0" w:line="127"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 believes that Ms. Warson’s experience in and knowledge of the financial services industry, her experience in the cannabis sector and the experience she has gained serving on other boards, make her qualified to serve as a member of the Board.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97" w:right="109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b w:val="1"/>
          <w:bCs w:val="1"/>
          <w:color w:val="auto"/>
        </w:rPr>
        <w:t>Incumbent Class 1 Director – Term Expiring 2028:</w:t>
      </w:r>
    </w:p>
    <w:p>
      <w:pPr>
        <w:spacing w:after="0" w:line="11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12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 of Office</w:t>
            </w:r>
          </w:p>
        </w:tc>
        <w:tc>
          <w:tcPr>
            <w:tcW w:w="12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 Directorships</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Occupation(s)</w:t>
            </w: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Address and Year of Birth</w:t>
            </w:r>
            <w:r>
              <w:rPr>
                <w:rFonts w:ascii="Times New Roman" w:cs="Times New Roman" w:eastAsia="Times New Roman" w:hAnsi="Times New Roman"/>
                <w:sz w:val="19"/>
                <w:szCs w:val="19"/>
                <w:b w:val="1"/>
                <w:bCs w:val="1"/>
                <w:color w:val="auto"/>
                <w:vertAlign w:val="superscript"/>
              </w:rPr>
              <w:t>(1)</w:t>
            </w:r>
          </w:p>
        </w:tc>
        <w:tc>
          <w:tcPr>
            <w:tcW w:w="140" w:type="dxa"/>
            <w:vAlign w:val="bottom"/>
          </w:tcPr>
          <w:p>
            <w:pPr>
              <w:spacing w:after="0"/>
              <w:rPr>
                <w:sz w:val="12"/>
                <w:szCs w:val="12"/>
                <w:color w:val="auto"/>
              </w:rPr>
            </w:pPr>
          </w:p>
        </w:tc>
        <w:tc>
          <w:tcPr>
            <w:tcW w:w="11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held with</w:t>
            </w:r>
          </w:p>
        </w:tc>
        <w:tc>
          <w:tcPr>
            <w:tcW w:w="120" w:type="dxa"/>
            <w:vAlign w:val="bottom"/>
          </w:tcPr>
          <w:p>
            <w:pPr>
              <w:spacing w:after="0"/>
              <w:rPr>
                <w:sz w:val="12"/>
                <w:szCs w:val="12"/>
                <w:color w:val="auto"/>
              </w:rPr>
            </w:pPr>
          </w:p>
        </w:tc>
        <w:tc>
          <w:tcPr>
            <w:tcW w:w="1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During the Past</w:t>
            </w:r>
          </w:p>
        </w:tc>
        <w:tc>
          <w:tcPr>
            <w:tcW w:w="12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and Length of</w:t>
            </w:r>
          </w:p>
        </w:tc>
        <w:tc>
          <w:tcPr>
            <w:tcW w:w="120" w:type="dxa"/>
            <w:vAlign w:val="bottom"/>
          </w:tcPr>
          <w:p>
            <w:pPr>
              <w:spacing w:after="0"/>
              <w:rPr>
                <w:sz w:val="12"/>
                <w:szCs w:val="12"/>
                <w:color w:val="auto"/>
              </w:rPr>
            </w:pP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Held by Director or</w:t>
            </w:r>
          </w:p>
        </w:tc>
        <w:tc>
          <w:tcPr>
            <w:tcW w:w="0" w:type="dxa"/>
            <w:vAlign w:val="bottom"/>
          </w:tcPr>
          <w:p>
            <w:pPr>
              <w:spacing w:after="0"/>
              <w:rPr>
                <w:sz w:val="1"/>
                <w:szCs w:val="1"/>
                <w:color w:val="auto"/>
              </w:rPr>
            </w:pPr>
          </w:p>
        </w:tc>
      </w:tr>
      <w:tr>
        <w:trPr>
          <w:trHeight w:val="175"/>
        </w:trPr>
        <w:tc>
          <w:tcPr>
            <w:tcW w:w="36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Company</w:t>
            </w:r>
          </w:p>
        </w:tc>
        <w:tc>
          <w:tcPr>
            <w:tcW w:w="12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9"/>
              </w:rPr>
              <w:t>Time Served</w:t>
            </w:r>
            <w:r>
              <w:rPr>
                <w:rFonts w:ascii="Times New Roman" w:cs="Times New Roman" w:eastAsia="Times New Roman" w:hAnsi="Times New Roman"/>
                <w:sz w:val="19"/>
                <w:szCs w:val="19"/>
                <w:b w:val="1"/>
                <w:bCs w:val="1"/>
                <w:color w:val="auto"/>
                <w:w w:val="99"/>
                <w:vertAlign w:val="superscript"/>
              </w:rPr>
              <w:t>(2)</w:t>
            </w: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Nominee for Director</w:t>
            </w:r>
          </w:p>
        </w:tc>
        <w:tc>
          <w:tcPr>
            <w:tcW w:w="0" w:type="dxa"/>
            <w:vAlign w:val="bottom"/>
          </w:tcPr>
          <w:p>
            <w:pPr>
              <w:spacing w:after="0"/>
              <w:rPr>
                <w:sz w:val="1"/>
                <w:szCs w:val="1"/>
                <w:color w:val="auto"/>
              </w:rPr>
            </w:pPr>
          </w:p>
        </w:tc>
      </w:tr>
      <w:tr>
        <w:trPr>
          <w:trHeight w:val="210"/>
        </w:trPr>
        <w:tc>
          <w:tcPr>
            <w:tcW w:w="3640" w:type="dxa"/>
            <w:vAlign w:val="bottom"/>
            <w:shd w:val="clear" w:color="auto" w:fill="CFF0FC"/>
          </w:tcPr>
          <w:p>
            <w:pPr>
              <w:spacing w:after="0"/>
              <w:rPr>
                <w:sz w:val="18"/>
                <w:szCs w:val="18"/>
                <w:color w:val="auto"/>
              </w:rPr>
            </w:pPr>
          </w:p>
        </w:tc>
        <w:tc>
          <w:tcPr>
            <w:tcW w:w="32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Independent Director Nominee</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Supurna VedBrat, 1966</w:t>
            </w:r>
          </w:p>
        </w:tc>
        <w:tc>
          <w:tcPr>
            <w:tcW w:w="140" w:type="dxa"/>
            <w:vAlign w:val="bottom"/>
          </w:tcPr>
          <w:p>
            <w:pPr>
              <w:spacing w:after="0"/>
              <w:rPr>
                <w:sz w:val="17"/>
                <w:szCs w:val="17"/>
                <w:color w:val="auto"/>
              </w:rPr>
            </w:pPr>
          </w:p>
        </w:tc>
        <w:tc>
          <w:tcPr>
            <w:tcW w:w="1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17"/>
                <w:szCs w:val="17"/>
                <w:color w:val="auto"/>
              </w:rPr>
            </w:pPr>
          </w:p>
        </w:tc>
        <w:tc>
          <w:tcPr>
            <w:tcW w:w="1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Consultant, Amber</w:t>
            </w:r>
          </w:p>
        </w:tc>
        <w:tc>
          <w:tcPr>
            <w:tcW w:w="12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Class 1</w:t>
            </w:r>
          </w:p>
        </w:tc>
        <w:tc>
          <w:tcPr>
            <w:tcW w:w="120" w:type="dxa"/>
            <w:vAlign w:val="bottom"/>
          </w:tcPr>
          <w:p>
            <w:pPr>
              <w:spacing w:after="0"/>
              <w:rPr>
                <w:sz w:val="17"/>
                <w:szCs w:val="17"/>
                <w:color w:val="auto"/>
              </w:rPr>
            </w:pPr>
          </w:p>
        </w:tc>
        <w:tc>
          <w:tcPr>
            <w:tcW w:w="1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Independent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Consulting &amp; Advisory</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since</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Roadzen,</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LLC (2023-Present);</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2025; Term</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 (2023-Present)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Head of Global Trading,</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expires in</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BlackRock, Inc. (2011-</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2028</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85725</wp:posOffset>
            </wp:positionV>
            <wp:extent cx="8229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55" w:lineRule="exact"/>
        <w:rPr>
          <w:sz w:val="20"/>
          <w:szCs w:val="20"/>
          <w:color w:val="auto"/>
        </w:rPr>
      </w:pPr>
    </w:p>
    <w:p>
      <w:pPr>
        <w:ind w:left="1100" w:hanging="436"/>
        <w:spacing w:after="0"/>
        <w:tabs>
          <w:tab w:leader="none" w:pos="11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for the director is c/o Chicago Atlantic BDC, Inc., 600 Madison Avenue, Suite 1800, New York, New York 10022.</w:t>
      </w:r>
    </w:p>
    <w:p>
      <w:pPr>
        <w:spacing w:after="0" w:line="72" w:lineRule="exact"/>
        <w:rPr>
          <w:rFonts w:ascii="Times New Roman" w:cs="Times New Roman" w:eastAsia="Times New Roman" w:hAnsi="Times New Roman"/>
          <w:sz w:val="16"/>
          <w:szCs w:val="16"/>
          <w:color w:val="auto"/>
        </w:rPr>
      </w:pPr>
    </w:p>
    <w:p>
      <w:pPr>
        <w:ind w:left="1100" w:hanging="436"/>
        <w:spacing w:after="0"/>
        <w:tabs>
          <w:tab w:leader="none" w:pos="11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Directors serve for three-year terms and until their successors are duly elected and qualified.</w:t>
      </w:r>
    </w:p>
    <w:p>
      <w:pPr>
        <w:spacing w:after="0" w:line="159" w:lineRule="exact"/>
        <w:rPr>
          <w:sz w:val="20"/>
          <w:szCs w:val="20"/>
          <w:color w:val="auto"/>
        </w:rPr>
      </w:pPr>
    </w:p>
    <w:p>
      <w:pPr>
        <w:jc w:val="both"/>
        <w:ind w:left="660" w:right="660" w:firstLine="441"/>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Supurna VedBrat </w:t>
      </w:r>
      <w:r>
        <w:rPr>
          <w:rFonts w:ascii="Times New Roman" w:cs="Times New Roman" w:eastAsia="Times New Roman" w:hAnsi="Times New Roman"/>
          <w:sz w:val="18"/>
          <w:szCs w:val="18"/>
          <w:color w:val="auto"/>
        </w:rPr>
        <w:t>has served as a member of the Board since 2025. Ms. VedBrat brings over 30 years of experience across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services and technology industries, spanning both the U.S. and Europe. She currently serves as an advisor and consultant, and holds board positions at Roadzen, Inc., an AI-driven insurance technology company; South Street Securities, LLC, a registered broker-dealer; and the Company. Previously, Ms. VedBrat served as Head of Global Trading at BlackRock from July 2011 to February 2023, where she oversaw the firm's trading operations across all asset classes and regions. In addition to managing trade execution on behalf of BlackRock's $10 trillion in assets under management, she led innovation and the development of scalable trading solutions often requiring working with banks, exchanges, ecns and other market participants within the financial ecosystem. Ms. VedBrat was also a member of BlackRock's Global Operating Committee, Investment Subcommittee, Human Capital Committee, and Price Valuation Committee. From January 2009 to July 2011, Ms. VedBrat consulted for exchanges and asset management on derivative reform and electronic trading during the Dodd-Frank era. Between March 2004 and January 2009, she held several positions at Bank of America across fixed income, commodities, and distressed debt analysis. Earlier in her career, Ms. VedBrat worked at ING Barings in London and Lehman Brothers in New York and began her professional career as a software engineer at IBM's research center. Ms. VedBrat has completed two terms each on the Commodity Futures Trading Commission ("CFTC") Technology Advisory Committee and the CFTC Global Markets Advisory Committee. She serves on the advisory board of Women in Financial Markets (WIFM), a non-profit dedicated to advancing women in the workforce. Ms. VedBrat was ranked #8 on Institutional Investor's 2018 Trading Tech 40 list and has been recognized with the Financial Markets Luminary Award by Women in Derivatives and the Markets Media Women in Finance Award for Excellence in Leadership. Ms. VedBrat holds a Bachelor of Arts (Honors) in Mathematics from Delhi University, India, and a degree in Computer Science from Rutgers University, USA.</w:t>
      </w:r>
    </w:p>
    <w:p>
      <w:pPr>
        <w:spacing w:after="0" w:line="115" w:lineRule="exact"/>
        <w:rPr>
          <w:sz w:val="20"/>
          <w:szCs w:val="20"/>
          <w:color w:val="auto"/>
        </w:rPr>
      </w:pPr>
    </w:p>
    <w:p>
      <w:pPr>
        <w:jc w:val="both"/>
        <w:ind w:left="660" w:right="660" w:firstLine="441"/>
        <w:spacing w:after="0" w:line="282" w:lineRule="auto"/>
        <w:rPr>
          <w:sz w:val="20"/>
          <w:szCs w:val="20"/>
          <w:color w:val="auto"/>
        </w:rPr>
      </w:pPr>
      <w:r>
        <w:rPr>
          <w:rFonts w:ascii="Times New Roman" w:cs="Times New Roman" w:eastAsia="Times New Roman" w:hAnsi="Times New Roman"/>
          <w:sz w:val="18"/>
          <w:szCs w:val="18"/>
          <w:color w:val="auto"/>
        </w:rPr>
        <w:t>The Company believes that Ms. VedBrat’s experience in and knowledge of the financial services industry, and the experience she has gained serving on other boards, make her qualified to serve as a member of the Board.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Incumbent Class 3 Directors – Term Expiring 2027:</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 of Office</w:t>
            </w:r>
          </w:p>
        </w:tc>
        <w:tc>
          <w:tcPr>
            <w:tcW w:w="120" w:type="dxa"/>
            <w:vAlign w:val="bottom"/>
          </w:tcPr>
          <w:p>
            <w:pPr>
              <w:spacing w:after="0"/>
              <w:rPr>
                <w:sz w:val="13"/>
                <w:szCs w:val="13"/>
                <w:color w:val="auto"/>
              </w:rPr>
            </w:pPr>
          </w:p>
        </w:tc>
        <w:tc>
          <w:tcPr>
            <w:tcW w:w="214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Other Directorships</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Occupation(s)</w:t>
            </w: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60" w:type="dxa"/>
            <w:vAlign w:val="bottom"/>
          </w:tcPr>
          <w:p>
            <w:pPr>
              <w:spacing w:after="0"/>
              <w:rPr>
                <w:sz w:val="12"/>
                <w:szCs w:val="12"/>
                <w:color w:val="auto"/>
              </w:rPr>
            </w:pPr>
          </w:p>
        </w:tc>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Address and Year of Birth</w:t>
            </w:r>
            <w:r>
              <w:rPr>
                <w:rFonts w:ascii="Times New Roman" w:cs="Times New Roman" w:eastAsia="Times New Roman" w:hAnsi="Times New Roman"/>
                <w:sz w:val="19"/>
                <w:szCs w:val="19"/>
                <w:b w:val="1"/>
                <w:bCs w:val="1"/>
                <w:color w:val="auto"/>
                <w:vertAlign w:val="superscript"/>
              </w:rPr>
              <w:t>(1)</w:t>
            </w:r>
          </w:p>
        </w:tc>
        <w:tc>
          <w:tcPr>
            <w:tcW w:w="140" w:type="dxa"/>
            <w:vAlign w:val="bottom"/>
          </w:tcPr>
          <w:p>
            <w:pPr>
              <w:spacing w:after="0"/>
              <w:rPr>
                <w:sz w:val="12"/>
                <w:szCs w:val="12"/>
                <w:color w:val="auto"/>
              </w:rPr>
            </w:pPr>
          </w:p>
        </w:tc>
        <w:tc>
          <w:tcPr>
            <w:tcW w:w="980" w:type="dxa"/>
            <w:vAlign w:val="bottom"/>
          </w:tcPr>
          <w:p>
            <w:pPr>
              <w:jc w:val="center"/>
              <w:ind w:left="41"/>
              <w:spacing w:after="0" w:line="146" w:lineRule="exact"/>
              <w:rPr>
                <w:sz w:val="20"/>
                <w:szCs w:val="20"/>
                <w:color w:val="auto"/>
              </w:rPr>
            </w:pPr>
            <w:r>
              <w:rPr>
                <w:rFonts w:ascii="Times New Roman" w:cs="Times New Roman" w:eastAsia="Times New Roman" w:hAnsi="Times New Roman"/>
                <w:sz w:val="14"/>
                <w:szCs w:val="14"/>
                <w:b w:val="1"/>
                <w:bCs w:val="1"/>
                <w:color w:val="auto"/>
              </w:rPr>
              <w:t>held with</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During the Past</w:t>
            </w:r>
          </w:p>
        </w:tc>
        <w:tc>
          <w:tcPr>
            <w:tcW w:w="12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and Length of</w:t>
            </w:r>
          </w:p>
        </w:tc>
        <w:tc>
          <w:tcPr>
            <w:tcW w:w="120" w:type="dxa"/>
            <w:vAlign w:val="bottom"/>
          </w:tcPr>
          <w:p>
            <w:pPr>
              <w:spacing w:after="0"/>
              <w:rPr>
                <w:sz w:val="12"/>
                <w:szCs w:val="12"/>
                <w:color w:val="auto"/>
              </w:rPr>
            </w:pPr>
          </w:p>
        </w:tc>
        <w:tc>
          <w:tcPr>
            <w:tcW w:w="2140" w:type="dxa"/>
            <w:vAlign w:val="bottom"/>
            <w:gridSpan w:val="2"/>
          </w:tcPr>
          <w:p>
            <w:pPr>
              <w:jc w:val="center"/>
              <w:ind w:right="700"/>
              <w:spacing w:after="0" w:line="146" w:lineRule="exact"/>
              <w:rPr>
                <w:sz w:val="20"/>
                <w:szCs w:val="20"/>
                <w:color w:val="auto"/>
              </w:rPr>
            </w:pPr>
            <w:r>
              <w:rPr>
                <w:rFonts w:ascii="Times New Roman" w:cs="Times New Roman" w:eastAsia="Times New Roman" w:hAnsi="Times New Roman"/>
                <w:sz w:val="14"/>
                <w:szCs w:val="14"/>
                <w:b w:val="1"/>
                <w:bCs w:val="1"/>
                <w:color w:val="auto"/>
              </w:rPr>
              <w:t>Held by Director or</w:t>
            </w: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36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bottom w:val="single" w:sz="8" w:color="auto"/>
            </w:tcBorders>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the Company</w:t>
            </w:r>
          </w:p>
        </w:tc>
        <w:tc>
          <w:tcPr>
            <w:tcW w:w="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9"/>
              </w:rPr>
              <w:t>Time Served</w:t>
            </w:r>
            <w:r>
              <w:rPr>
                <w:rFonts w:ascii="Times New Roman" w:cs="Times New Roman" w:eastAsia="Times New Roman" w:hAnsi="Times New Roman"/>
                <w:sz w:val="19"/>
                <w:szCs w:val="19"/>
                <w:b w:val="1"/>
                <w:bCs w:val="1"/>
                <w:color w:val="auto"/>
                <w:w w:val="99"/>
                <w:vertAlign w:val="superscript"/>
              </w:rPr>
              <w:t>(2)</w:t>
            </w: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Nominee for Director</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100" w:type="dxa"/>
            <w:vAlign w:val="bottom"/>
            <w:gridSpan w:val="4"/>
            <w:shd w:val="clear" w:color="auto" w:fill="CFF0FC"/>
          </w:tcPr>
          <w:p>
            <w:pPr>
              <w:jc w:val="center"/>
              <w:ind w:right="876"/>
              <w:spacing w:after="0"/>
              <w:rPr>
                <w:sz w:val="20"/>
                <w:szCs w:val="20"/>
                <w:color w:val="auto"/>
              </w:rPr>
            </w:pPr>
            <w:r>
              <w:rPr>
                <w:rFonts w:ascii="Times New Roman" w:cs="Times New Roman" w:eastAsia="Times New Roman" w:hAnsi="Times New Roman"/>
                <w:sz w:val="18"/>
                <w:szCs w:val="18"/>
                <w:b w:val="1"/>
                <w:bCs w:val="1"/>
                <w:color w:val="auto"/>
                <w:w w:val="99"/>
              </w:rPr>
              <w:t>Independent Director</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3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Michael W. Chorske, 1968</w:t>
            </w:r>
          </w:p>
        </w:tc>
        <w:tc>
          <w:tcPr>
            <w:tcW w:w="140" w:type="dxa"/>
            <w:vAlign w:val="bottom"/>
          </w:tcPr>
          <w:p>
            <w:pPr>
              <w:spacing w:after="0"/>
              <w:rPr>
                <w:sz w:val="17"/>
                <w:szCs w:val="17"/>
                <w:color w:val="auto"/>
              </w:rPr>
            </w:pPr>
          </w:p>
        </w:tc>
        <w:tc>
          <w:tcPr>
            <w:tcW w:w="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Managing Partner,</w:t>
            </w:r>
          </w:p>
        </w:tc>
        <w:tc>
          <w:tcPr>
            <w:tcW w:w="12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Class 3</w:t>
            </w:r>
          </w:p>
        </w:tc>
        <w:tc>
          <w:tcPr>
            <w:tcW w:w="120" w:type="dxa"/>
            <w:vAlign w:val="bottom"/>
          </w:tcPr>
          <w:p>
            <w:pPr>
              <w:spacing w:after="0"/>
              <w:rPr>
                <w:sz w:val="17"/>
                <w:szCs w:val="17"/>
                <w:color w:val="auto"/>
              </w:rPr>
            </w:pPr>
          </w:p>
        </w:tc>
        <w:tc>
          <w:tcPr>
            <w:tcW w:w="1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Cryder Partners (2024-</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since</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Present); Operating</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2021; Term</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Partner, Pegasus Capital</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expires in</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Advisors, LP (2022-</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 Founder and</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Executive Managing</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Emergent</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Holdings, LLC (2014-</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12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6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12</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97" w:right="4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12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 of Office</w:t>
            </w:r>
          </w:p>
        </w:tc>
        <w:tc>
          <w:tcPr>
            <w:tcW w:w="12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 Directorships</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Occupation(s)</w:t>
            </w: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Address and Year of Birth</w:t>
            </w:r>
            <w:r>
              <w:rPr>
                <w:rFonts w:ascii="Times New Roman" w:cs="Times New Roman" w:eastAsia="Times New Roman" w:hAnsi="Times New Roman"/>
                <w:sz w:val="19"/>
                <w:szCs w:val="19"/>
                <w:b w:val="1"/>
                <w:bCs w:val="1"/>
                <w:color w:val="auto"/>
                <w:vertAlign w:val="superscript"/>
              </w:rPr>
              <w:t>(1)</w:t>
            </w:r>
          </w:p>
        </w:tc>
        <w:tc>
          <w:tcPr>
            <w:tcW w:w="140" w:type="dxa"/>
            <w:vAlign w:val="bottom"/>
          </w:tcPr>
          <w:p>
            <w:pPr>
              <w:spacing w:after="0"/>
              <w:rPr>
                <w:sz w:val="12"/>
                <w:szCs w:val="12"/>
                <w:color w:val="auto"/>
              </w:rPr>
            </w:pPr>
          </w:p>
        </w:tc>
        <w:tc>
          <w:tcPr>
            <w:tcW w:w="11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held with</w:t>
            </w:r>
          </w:p>
        </w:tc>
        <w:tc>
          <w:tcPr>
            <w:tcW w:w="120" w:type="dxa"/>
            <w:vAlign w:val="bottom"/>
          </w:tcPr>
          <w:p>
            <w:pPr>
              <w:spacing w:after="0"/>
              <w:rPr>
                <w:sz w:val="12"/>
                <w:szCs w:val="12"/>
                <w:color w:val="auto"/>
              </w:rPr>
            </w:pPr>
          </w:p>
        </w:tc>
        <w:tc>
          <w:tcPr>
            <w:tcW w:w="1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During the Past</w:t>
            </w:r>
          </w:p>
        </w:tc>
        <w:tc>
          <w:tcPr>
            <w:tcW w:w="12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and Length of</w:t>
            </w:r>
          </w:p>
        </w:tc>
        <w:tc>
          <w:tcPr>
            <w:tcW w:w="120" w:type="dxa"/>
            <w:vAlign w:val="bottom"/>
          </w:tcPr>
          <w:p>
            <w:pPr>
              <w:spacing w:after="0"/>
              <w:rPr>
                <w:sz w:val="12"/>
                <w:szCs w:val="12"/>
                <w:color w:val="auto"/>
              </w:rPr>
            </w:pP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Held by Director or</w:t>
            </w:r>
          </w:p>
        </w:tc>
        <w:tc>
          <w:tcPr>
            <w:tcW w:w="0" w:type="dxa"/>
            <w:vAlign w:val="bottom"/>
          </w:tcPr>
          <w:p>
            <w:pPr>
              <w:spacing w:after="0"/>
              <w:rPr>
                <w:sz w:val="1"/>
                <w:szCs w:val="1"/>
                <w:color w:val="auto"/>
              </w:rPr>
            </w:pPr>
          </w:p>
        </w:tc>
      </w:tr>
      <w:tr>
        <w:trPr>
          <w:trHeight w:val="175"/>
        </w:trPr>
        <w:tc>
          <w:tcPr>
            <w:tcW w:w="36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Company</w:t>
            </w:r>
          </w:p>
        </w:tc>
        <w:tc>
          <w:tcPr>
            <w:tcW w:w="12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9"/>
              </w:rPr>
              <w:t>Time Served</w:t>
            </w:r>
            <w:r>
              <w:rPr>
                <w:rFonts w:ascii="Times New Roman" w:cs="Times New Roman" w:eastAsia="Times New Roman" w:hAnsi="Times New Roman"/>
                <w:sz w:val="19"/>
                <w:szCs w:val="19"/>
                <w:b w:val="1"/>
                <w:bCs w:val="1"/>
                <w:color w:val="auto"/>
                <w:w w:val="99"/>
                <w:vertAlign w:val="superscript"/>
              </w:rPr>
              <w:t>(2)</w:t>
            </w: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Nominee for Director</w:t>
            </w:r>
          </w:p>
        </w:tc>
        <w:tc>
          <w:tcPr>
            <w:tcW w:w="0" w:type="dxa"/>
            <w:vAlign w:val="bottom"/>
          </w:tcPr>
          <w:p>
            <w:pPr>
              <w:spacing w:after="0"/>
              <w:rPr>
                <w:sz w:val="1"/>
                <w:szCs w:val="1"/>
                <w:color w:val="auto"/>
              </w:rPr>
            </w:pPr>
          </w:p>
        </w:tc>
      </w:tr>
      <w:tr>
        <w:trPr>
          <w:trHeight w:val="210"/>
        </w:trPr>
        <w:tc>
          <w:tcPr>
            <w:tcW w:w="3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100" w:type="dxa"/>
            <w:vAlign w:val="bottom"/>
            <w:gridSpan w:val="3"/>
            <w:shd w:val="clear" w:color="auto" w:fill="CFF0FC"/>
          </w:tcPr>
          <w:p>
            <w:pPr>
              <w:ind w:left="280"/>
              <w:spacing w:after="0" w:line="210" w:lineRule="exact"/>
              <w:rPr>
                <w:sz w:val="20"/>
                <w:szCs w:val="20"/>
                <w:color w:val="auto"/>
              </w:rPr>
            </w:pPr>
            <w:r>
              <w:rPr>
                <w:rFonts w:ascii="Times New Roman" w:cs="Times New Roman" w:eastAsia="Times New Roman" w:hAnsi="Times New Roman"/>
                <w:sz w:val="18"/>
                <w:szCs w:val="18"/>
                <w:b w:val="1"/>
                <w:bCs w:val="1"/>
                <w:color w:val="auto"/>
              </w:rPr>
              <w:t>Interested Director</w:t>
            </w:r>
            <w:r>
              <w:rPr>
                <w:rFonts w:ascii="Times New Roman" w:cs="Times New Roman" w:eastAsia="Times New Roman" w:hAnsi="Times New Roman"/>
                <w:sz w:val="24"/>
                <w:szCs w:val="24"/>
                <w:b w:val="1"/>
                <w:bCs w:val="1"/>
                <w:color w:val="auto"/>
                <w:vertAlign w:val="superscript"/>
              </w:rPr>
              <w:t>(3)</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Scott Gordon, 1961</w:t>
            </w:r>
          </w:p>
        </w:tc>
        <w:tc>
          <w:tcPr>
            <w:tcW w:w="140" w:type="dxa"/>
            <w:vAlign w:val="bottom"/>
          </w:tcPr>
          <w:p>
            <w:pPr>
              <w:spacing w:after="0"/>
              <w:rPr>
                <w:sz w:val="17"/>
                <w:szCs w:val="17"/>
                <w:color w:val="auto"/>
              </w:rPr>
            </w:pPr>
          </w:p>
        </w:tc>
        <w:tc>
          <w:tcPr>
            <w:tcW w:w="1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Executive</w:t>
            </w:r>
          </w:p>
        </w:tc>
        <w:tc>
          <w:tcPr>
            <w:tcW w:w="120" w:type="dxa"/>
            <w:vAlign w:val="bottom"/>
          </w:tcPr>
          <w:p>
            <w:pPr>
              <w:spacing w:after="0"/>
              <w:rPr>
                <w:sz w:val="17"/>
                <w:szCs w:val="17"/>
                <w:color w:val="auto"/>
              </w:rPr>
            </w:pPr>
          </w:p>
        </w:tc>
        <w:tc>
          <w:tcPr>
            <w:tcW w:w="1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Partner, Chicago</w:t>
            </w:r>
          </w:p>
        </w:tc>
        <w:tc>
          <w:tcPr>
            <w:tcW w:w="12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Class 3</w:t>
            </w:r>
          </w:p>
        </w:tc>
        <w:tc>
          <w:tcPr>
            <w:tcW w:w="120" w:type="dxa"/>
            <w:vAlign w:val="bottom"/>
          </w:tcPr>
          <w:p>
            <w:pPr>
              <w:spacing w:after="0"/>
              <w:rPr>
                <w:sz w:val="17"/>
                <w:szCs w:val="17"/>
                <w:color w:val="auto"/>
              </w:rPr>
            </w:pPr>
          </w:p>
        </w:tc>
        <w:tc>
          <w:tcPr>
            <w:tcW w:w="1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Independent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Chairman and</w:t>
            </w: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Atlantic Group, LP</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since</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WM</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Co-Chief</w:t>
            </w: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(10/2024-Present);</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2021; Term</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Technology, Inc.</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Investment</w:t>
            </w: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Founder and Chief</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expires in</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(6/2019-Present);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Executive Officer, Silver</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Silver</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Spike Capital (3/2019-</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Spike Acquisition</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10/2024)</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Corp. II (9/2020-</w:t>
            </w: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8229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55" w:lineRule="exact"/>
        <w:rPr>
          <w:sz w:val="20"/>
          <w:szCs w:val="20"/>
          <w:color w:val="auto"/>
        </w:rPr>
      </w:pPr>
    </w:p>
    <w:p>
      <w:pPr>
        <w:ind w:left="440" w:hanging="436"/>
        <w:spacing w:after="0"/>
        <w:tabs>
          <w:tab w:leader="none" w:pos="4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for each director is c/o Chicago Atlantic BDC, Inc., 600 Madison Avenue, Suite 1800, New York, New York 10022.</w:t>
      </w:r>
    </w:p>
    <w:p>
      <w:pPr>
        <w:spacing w:after="0" w:line="72" w:lineRule="exact"/>
        <w:rPr>
          <w:rFonts w:ascii="Times New Roman" w:cs="Times New Roman" w:eastAsia="Times New Roman" w:hAnsi="Times New Roman"/>
          <w:sz w:val="16"/>
          <w:szCs w:val="16"/>
          <w:color w:val="auto"/>
        </w:rPr>
      </w:pPr>
    </w:p>
    <w:p>
      <w:pPr>
        <w:ind w:left="440" w:hanging="436"/>
        <w:spacing w:after="0"/>
        <w:tabs>
          <w:tab w:leader="none" w:pos="4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Directors serve for three-year terms and until their successors are duly elected and qualified.</w:t>
      </w:r>
    </w:p>
    <w:p>
      <w:pPr>
        <w:spacing w:after="0" w:line="72" w:lineRule="exact"/>
        <w:rPr>
          <w:rFonts w:ascii="Times New Roman" w:cs="Times New Roman" w:eastAsia="Times New Roman" w:hAnsi="Times New Roman"/>
          <w:sz w:val="16"/>
          <w:szCs w:val="16"/>
          <w:color w:val="auto"/>
        </w:rPr>
      </w:pPr>
    </w:p>
    <w:p>
      <w:pPr>
        <w:ind w:left="440" w:hanging="436"/>
        <w:spacing w:after="0" w:line="298" w:lineRule="auto"/>
        <w:tabs>
          <w:tab w:leader="none" w:pos="4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Gordon may be deemed to be an “interested person,” as defined in Section 2(a)(19) of the 1940 Act, of the Company by virtue of his affiliation with the Adviser.</w:t>
      </w:r>
    </w:p>
    <w:p>
      <w:pPr>
        <w:spacing w:after="0" w:line="88"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Michael W. Chorske </w:t>
      </w:r>
      <w:r>
        <w:rPr>
          <w:rFonts w:ascii="Times New Roman" w:cs="Times New Roman" w:eastAsia="Times New Roman" w:hAnsi="Times New Roman"/>
          <w:sz w:val="18"/>
          <w:szCs w:val="18"/>
          <w:color w:val="auto"/>
        </w:rPr>
        <w:t>has served as a member of the Board since 2021. Mr. Chorske is a senior investment and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with a record of building entrepreneurial enterprises and managing alternatives funds and portfolios. Mr. Chorske currently serves as the Chief Financial Officer ("CFO") at 25:2 Solutions, Inc., an agricultural technologies company, and as a Managing Partner at Cryder Partners, a consulting and investment firm. From 2022 to 2023, Mr. Chorske was an Operating Partner at Pegasus Capital Advisors, LP, a private markets impact investment management firm. From 2014 to 2019, Mr. Chorske was a founder and executive managing director of Emergent Holdings, LLC, an investor in and developer of aquaculture businesses. Mr. Chorske was a partner of GCM Capital LP, where he managed an investment fund pursuing a public and private structured convertible debt and private investment in public equity strategy. Mr. Chorske was also a Vice President of Finance of InterTrust Technologies Corp., where he managed corporate finance activities, and gained ten years of venture capital, growth equity and leveraged buyout experience with Victory Capital/East River Ventures, where he invested across the capital structure in technology, healthcare services, biotechnology, consumer packaged goods and natural resources. Mr. Chorske earned his Master of Business Administration degree from Columbia University.</w:t>
      </w:r>
    </w:p>
    <w:p>
      <w:pPr>
        <w:spacing w:after="0" w:line="113"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 believes that Mr. Chorske’s management and investment experience, and the experience he has gained serving on other boards, make him qualified to serve as a member of the Board.</w:t>
      </w:r>
    </w:p>
    <w:p>
      <w:pPr>
        <w:spacing w:after="0" w:line="90"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Scott Gordon </w:t>
      </w:r>
      <w:r>
        <w:rPr>
          <w:rFonts w:ascii="Times New Roman" w:cs="Times New Roman" w:eastAsia="Times New Roman" w:hAnsi="Times New Roman"/>
          <w:sz w:val="18"/>
          <w:szCs w:val="18"/>
          <w:color w:val="auto"/>
        </w:rPr>
        <w:t>has served as the Executive Chairman of the Board since the Company’s inception and has served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Co-Chief Investment Officer since October 2024. Mr. Gordon served as the Company’s CEO from the Company’s inception until October 2024. Prior to becoming a Partner at Chicago Atlantic in October 2024, Mr. Gordon was the CEO of Silver Spike Capital, an investment platform that he founded that was dedicated to the cannabis industry and included the Adviser. Prior to founding Silver Spike Capital, Mr. Gordon had been the co-founder and chairman of Egg Rock Holdings, LLC (“Egg Rock”), the parent company of the Papa &amp; Barkley family of cannabis products, with related subsidiary assets in manufacturing, processing, and logistics. Egg Rock also is the parent company of Papa &amp; Barkley Essentials, a hemp-derived CBD business based in Colorado. From 2016 to 2019, Mr. Gordon was also President of Fintech Advisory Inc., the investment manager for a multi-billion dollar family office fund focused on long-term and opportunistic investments in emerging markets. From late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held leadership positions at Bank of America and ING Capital. Mr. Gordon was a founding member of the Emerging Markets business at JP Morgan where he worked upon graduating from Bowdoin College in 1983. Mr. Gordon serves as an independent director of WM Technology, Inc. (formerly, Silver Spike Acquisition Corp.), which operates Weedmaps, a leading online listings marketplace for cannabis consumers and businesses, and WM Business, a comprehensive SaaS subscription offering sold to cannabis retailers and brands. From 2019 to June 2021, Mr. Gordon served as Chairperson of the Board of Directors and CEO of Silver Spike Acquisition Corp. From September 2020 to January 2024, Mr. Gordon also served as Chairperson of the Board of Directors and CEO of Silver Spike Acquisition Corp. II.</w:t>
      </w:r>
    </w:p>
    <w:p>
      <w:pPr>
        <w:spacing w:after="0" w:line="12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 believes that Mr. Gordon’s experience in emerging markets and in the cannabis sector make him qualified to serve as a member of the Board.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82" w:right="10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Dollar Range of Equity Securities Beneficially Owned by Directors</w:t>
      </w:r>
    </w:p>
    <w:p>
      <w:pPr>
        <w:spacing w:after="0" w:line="16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table below shows the dollar range of equity securities of the Company that were beneficially owned by each director as of the Record Date stated as one of the following dollar ranges: None; $1 – $10,000; $10,001 – $50,000; $50,001 – $100,000; or Over $100,000.</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Dollar Range of</w:t>
            </w:r>
          </w:p>
        </w:tc>
        <w:tc>
          <w:tcPr>
            <w:tcW w:w="0" w:type="dxa"/>
            <w:vAlign w:val="bottom"/>
          </w:tcPr>
          <w:p>
            <w:pPr>
              <w:spacing w:after="0"/>
              <w:rPr>
                <w:sz w:val="1"/>
                <w:szCs w:val="1"/>
                <w:color w:val="auto"/>
              </w:rPr>
            </w:pPr>
          </w:p>
        </w:tc>
      </w:tr>
      <w:tr>
        <w:trPr>
          <w:trHeight w:val="146"/>
        </w:trPr>
        <w:tc>
          <w:tcPr>
            <w:tcW w:w="7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Director</w:t>
            </w:r>
          </w:p>
        </w:tc>
        <w:tc>
          <w:tcPr>
            <w:tcW w:w="200" w:type="dxa"/>
            <w:vAlign w:val="bottom"/>
          </w:tcPr>
          <w:p>
            <w:pPr>
              <w:spacing w:after="0"/>
              <w:rPr>
                <w:sz w:val="12"/>
                <w:szCs w:val="12"/>
                <w:color w:val="auto"/>
              </w:rPr>
            </w:pPr>
          </w:p>
        </w:tc>
        <w:tc>
          <w:tcPr>
            <w:tcW w:w="1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Equity Securities</w:t>
            </w:r>
          </w:p>
        </w:tc>
        <w:tc>
          <w:tcPr>
            <w:tcW w:w="0" w:type="dxa"/>
            <w:vAlign w:val="bottom"/>
          </w:tcPr>
          <w:p>
            <w:pPr>
              <w:spacing w:after="0"/>
              <w:rPr>
                <w:sz w:val="1"/>
                <w:szCs w:val="1"/>
                <w:color w:val="auto"/>
              </w:rPr>
            </w:pPr>
          </w:p>
        </w:tc>
      </w:tr>
      <w:tr>
        <w:trPr>
          <w:trHeight w:val="176"/>
        </w:trPr>
        <w:tc>
          <w:tcPr>
            <w:tcW w:w="78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7"/>
              </w:rPr>
              <w:t>Beneficially Owned</w:t>
            </w:r>
            <w:r>
              <w:rPr>
                <w:rFonts w:ascii="Times New Roman" w:cs="Times New Roman" w:eastAsia="Times New Roman" w:hAnsi="Times New Roman"/>
                <w:sz w:val="19"/>
                <w:szCs w:val="19"/>
                <w:b w:val="1"/>
                <w:bCs w:val="1"/>
                <w:color w:val="auto"/>
                <w:w w:val="97"/>
                <w:vertAlign w:val="superscript"/>
              </w:rPr>
              <w:t>(1)(2)</w:t>
            </w:r>
          </w:p>
        </w:tc>
        <w:tc>
          <w:tcPr>
            <w:tcW w:w="0" w:type="dxa"/>
            <w:vAlign w:val="bottom"/>
          </w:tcPr>
          <w:p>
            <w:pPr>
              <w:spacing w:after="0"/>
              <w:rPr>
                <w:sz w:val="1"/>
                <w:szCs w:val="1"/>
                <w:color w:val="auto"/>
              </w:rPr>
            </w:pPr>
          </w:p>
        </w:tc>
      </w:tr>
      <w:tr>
        <w:trPr>
          <w:trHeight w:val="209"/>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Directors</w:t>
            </w:r>
          </w:p>
        </w:tc>
        <w:tc>
          <w:tcPr>
            <w:tcW w:w="200" w:type="dxa"/>
            <w:vAlign w:val="bottom"/>
          </w:tcPr>
          <w:p>
            <w:pPr>
              <w:spacing w:after="0"/>
              <w:rPr>
                <w:sz w:val="18"/>
                <w:szCs w:val="18"/>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Over $100,000</w:t>
            </w:r>
            <w:r>
              <w:rPr>
                <w:rFonts w:ascii="Times New Roman" w:cs="Times New Roman" w:eastAsia="Times New Roman" w:hAnsi="Times New Roman"/>
                <w:sz w:val="24"/>
                <w:szCs w:val="24"/>
                <w:color w:val="auto"/>
                <w:w w:val="96"/>
                <w:vertAlign w:val="superscript"/>
              </w:rPr>
              <w:t>(3)</w:t>
            </w:r>
          </w:p>
        </w:tc>
        <w:tc>
          <w:tcPr>
            <w:tcW w:w="0" w:type="dxa"/>
            <w:vAlign w:val="bottom"/>
          </w:tcPr>
          <w:p>
            <w:pPr>
              <w:spacing w:after="0"/>
              <w:rPr>
                <w:sz w:val="1"/>
                <w:szCs w:val="1"/>
                <w:color w:val="auto"/>
              </w:rPr>
            </w:pPr>
          </w:p>
        </w:tc>
      </w:tr>
      <w:tr>
        <w:trPr>
          <w:trHeight w:val="216"/>
        </w:trPr>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Scott Gordon</w:t>
            </w:r>
          </w:p>
        </w:tc>
        <w:tc>
          <w:tcPr>
            <w:tcW w:w="20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w:t>
            </w: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Michael W. Chorske</w:t>
            </w:r>
          </w:p>
        </w:tc>
        <w:tc>
          <w:tcPr>
            <w:tcW w:w="2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216"/>
        </w:trPr>
        <w:tc>
          <w:tcPr>
            <w:tcW w:w="7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Americo Da Corte</w:t>
            </w: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216"/>
        </w:trPr>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Supurna VedBrat</w:t>
            </w:r>
          </w:p>
        </w:tc>
        <w:tc>
          <w:tcPr>
            <w:tcW w:w="2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216"/>
        </w:trPr>
        <w:tc>
          <w:tcPr>
            <w:tcW w:w="7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Tracey Brophy Warson</w:t>
            </w: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-959485</wp:posOffset>
            </wp:positionV>
            <wp:extent cx="617220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72200" cy="1371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85725</wp:posOffset>
            </wp:positionV>
            <wp:extent cx="8229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55" w:lineRule="exact"/>
        <w:rPr>
          <w:sz w:val="20"/>
          <w:szCs w:val="20"/>
          <w:color w:val="auto"/>
        </w:rPr>
      </w:pPr>
    </w:p>
    <w:p>
      <w:pPr>
        <w:ind w:left="440" w:hanging="436"/>
        <w:spacing w:after="0"/>
        <w:tabs>
          <w:tab w:leader="none" w:pos="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Beneficial ownership has been determined in accordance with Rule 16a-1(a)(2) under the Exchange Act.</w:t>
      </w:r>
    </w:p>
    <w:p>
      <w:pPr>
        <w:spacing w:after="0" w:line="72" w:lineRule="exact"/>
        <w:rPr>
          <w:rFonts w:ascii="Times New Roman" w:cs="Times New Roman" w:eastAsia="Times New Roman" w:hAnsi="Times New Roman"/>
          <w:sz w:val="14"/>
          <w:szCs w:val="14"/>
          <w:color w:val="auto"/>
        </w:rPr>
      </w:pPr>
    </w:p>
    <w:p>
      <w:pPr>
        <w:ind w:left="440" w:hanging="436"/>
        <w:spacing w:after="0" w:line="298" w:lineRule="auto"/>
        <w:tabs>
          <w:tab w:leader="none" w:pos="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dollar range of equity securities beneficially owned is calculated by multiplying the closing price of the Company’s common stock of $9.28 on the Record Date on the Nasdaq Global Market (“NASDAQ”), times the number of Shares beneficially owned.</w:t>
      </w:r>
    </w:p>
    <w:p>
      <w:pPr>
        <w:spacing w:after="0" w:line="2" w:lineRule="exact"/>
        <w:rPr>
          <w:rFonts w:ascii="Times New Roman" w:cs="Times New Roman" w:eastAsia="Times New Roman" w:hAnsi="Times New Roman"/>
          <w:sz w:val="14"/>
          <w:szCs w:val="14"/>
          <w:color w:val="auto"/>
        </w:rPr>
      </w:pPr>
    </w:p>
    <w:p>
      <w:pPr>
        <w:jc w:val="both"/>
        <w:ind w:left="440" w:hanging="436"/>
        <w:spacing w:after="0" w:line="281" w:lineRule="auto"/>
        <w:tabs>
          <w:tab w:leader="none" w:pos="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Includes Shares held by the Adviser. Mr. Gordon directly (whether through ownership or position) or indirectly through one or more intermediaries, may be deemed for purposes of Section 16 of the Exchange Act to be the indirect beneficial owner of the Shares held by the Adviser. Mr. Gordon disclaims beneficial ownership of the Shares held by the Adviser except to the extent of his pecuniary interest therein.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Executive Officers Who Are Not Directors</w:t>
      </w:r>
    </w:p>
    <w:p>
      <w:pPr>
        <w:spacing w:after="0" w:line="14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sets forth certain information regarding the executive officers of the Company who are not directors of the Company.</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of</w:t>
            </w:r>
          </w:p>
        </w:tc>
        <w:tc>
          <w:tcPr>
            <w:tcW w:w="160" w:type="dxa"/>
            <w:vAlign w:val="bottom"/>
          </w:tcPr>
          <w:p>
            <w:pPr>
              <w:spacing w:after="0"/>
              <w:rPr>
                <w:sz w:val="13"/>
                <w:szCs w:val="13"/>
                <w:color w:val="auto"/>
              </w:rPr>
            </w:pPr>
          </w:p>
        </w:tc>
        <w:tc>
          <w:tcPr>
            <w:tcW w:w="3320" w:type="dxa"/>
            <w:vAlign w:val="bottom"/>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4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Officer Since</w:t>
            </w:r>
          </w:p>
        </w:tc>
        <w:tc>
          <w:tcPr>
            <w:tcW w:w="0" w:type="dxa"/>
            <w:vAlign w:val="bottom"/>
          </w:tcPr>
          <w:p>
            <w:pPr>
              <w:spacing w:after="0"/>
              <w:rPr>
                <w:sz w:val="1"/>
                <w:szCs w:val="1"/>
                <w:color w:val="auto"/>
              </w:rPr>
            </w:pPr>
          </w:p>
        </w:tc>
      </w:tr>
      <w:tr>
        <w:trPr>
          <w:trHeight w:val="173"/>
        </w:trPr>
        <w:tc>
          <w:tcPr>
            <w:tcW w:w="33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Birth</w:t>
            </w:r>
          </w:p>
        </w:tc>
        <w:tc>
          <w:tcPr>
            <w:tcW w:w="160" w:type="dxa"/>
            <w:vAlign w:val="bottom"/>
          </w:tcPr>
          <w:p>
            <w:pPr>
              <w:spacing w:after="0"/>
              <w:rPr>
                <w:sz w:val="15"/>
                <w:szCs w:val="15"/>
                <w:color w:val="auto"/>
              </w:rPr>
            </w:pPr>
          </w:p>
        </w:tc>
        <w:tc>
          <w:tcPr>
            <w:tcW w:w="33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Dino Colonna</w:t>
            </w:r>
          </w:p>
        </w:tc>
        <w:tc>
          <w:tcPr>
            <w:tcW w:w="13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1979</w:t>
            </w:r>
          </w:p>
        </w:tc>
        <w:tc>
          <w:tcPr>
            <w:tcW w:w="34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President</w:t>
            </w:r>
          </w:p>
        </w:tc>
        <w:tc>
          <w:tcPr>
            <w:tcW w:w="15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Umesh Mahajan</w:t>
            </w:r>
          </w:p>
        </w:tc>
        <w:tc>
          <w:tcPr>
            <w:tcW w:w="13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1971</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Co-Chief Investment Officer and Secretary</w:t>
            </w:r>
          </w:p>
        </w:tc>
        <w:tc>
          <w:tcPr>
            <w:tcW w:w="15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Thomas Geoffroy</w:t>
            </w:r>
          </w:p>
        </w:tc>
        <w:tc>
          <w:tcPr>
            <w:tcW w:w="13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1974</w:t>
            </w:r>
          </w:p>
        </w:tc>
        <w:tc>
          <w:tcPr>
            <w:tcW w:w="34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15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Peter Sack</w:t>
            </w:r>
          </w:p>
        </w:tc>
        <w:tc>
          <w:tcPr>
            <w:tcW w:w="13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1989</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c>
          <w:tcPr>
            <w:tcW w:w="15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Andrew Lovitt</w:t>
            </w:r>
          </w:p>
        </w:tc>
        <w:tc>
          <w:tcPr>
            <w:tcW w:w="13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1991</w:t>
            </w:r>
          </w:p>
        </w:tc>
        <w:tc>
          <w:tcPr>
            <w:tcW w:w="34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Chief Compliance Officer</w:t>
            </w:r>
          </w:p>
        </w:tc>
        <w:tc>
          <w:tcPr>
            <w:tcW w:w="15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Gianni Fazio</w:t>
            </w:r>
          </w:p>
        </w:tc>
        <w:tc>
          <w:tcPr>
            <w:tcW w:w="13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1996</w:t>
            </w: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5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bl>
    <w:p>
      <w:pPr>
        <w:spacing w:after="0" w:line="125"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address for each of the Company’s executive officers is c/o Chicago Atlantic BDC, Inc., 600 Madison Avenue, Suite 1800, New York, New York 10022.</w:t>
      </w:r>
    </w:p>
    <w:p>
      <w:pPr>
        <w:spacing w:after="0" w:line="90"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Dino Colonna </w:t>
      </w:r>
      <w:r>
        <w:rPr>
          <w:rFonts w:ascii="Times New Roman" w:cs="Times New Roman" w:eastAsia="Times New Roman" w:hAnsi="Times New Roman"/>
          <w:sz w:val="18"/>
          <w:szCs w:val="18"/>
          <w:color w:val="auto"/>
        </w:rPr>
        <w:t>has served as the Company’s President since October 2024. Prior to becoming a Partner at Chicago Atlantic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October 2024, Mr. Colonna was a Partner and Co-Head of Credit at Silver Spike Capital. Since 2001, Mr. Colonna has managed traditional and alternative investment portfolios, and advised corporations and institutional investors across the global capital markets. Prior to joining Silver Spike Capital, Mr. Colonna was managing partner at Madison Capital Advisors, a middle-market asset-backed lending and advisory firm focused on emerging growth companies in the cannabis, life sciences and tech sectors. Prior to Madison Capital Advisors, Mr. Colonna spent four years as an investment banker at the top-ranked Equity Capital Markets team at Barclays in London, and six years as a senior research analyst at Forest Investment Management, a global multi-strategy hedge fund. With Barclays, he advised on and structured over $8 billion of equity, derivative and debt transactions, and while at Forest Investment Management, he specialized in credit and equity research, and was part of the portfolio management team managing an over $500 million multi-strategy portfolio. Mr. Colonna holds a CFA Charter, a Bachelor of Science in Business Administration degree from the University of Delaware and an international Master of Business Administration degree from ESADE Business School (Spain).</w:t>
      </w:r>
    </w:p>
    <w:p>
      <w:pPr>
        <w:spacing w:after="0" w:line="10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Umesh Mahajan </w:t>
      </w:r>
      <w:r>
        <w:rPr>
          <w:rFonts w:ascii="Times New Roman" w:cs="Times New Roman" w:eastAsia="Times New Roman" w:hAnsi="Times New Roman"/>
          <w:sz w:val="18"/>
          <w:szCs w:val="18"/>
          <w:color w:val="auto"/>
        </w:rPr>
        <w:t>has served as the Company’s Secretary since May 2024 and the Company’s Co-Chief Investment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October 2024. Mr. Mahajan served as the Company’s CFO from March 2023 until February 2025. Prior to becoming a Partner at Chicago Atlantic in October 2024, Mr. Mahajan was a Partner and Co-Head of Credit at Silver Spike Capital. Prior to joining Silver Spike Capital in 2021, Mr. Mahajan was a Managing Director for four years at Ascribe Capital, a credit fund focused on value investing in middle market companies. From September 2003 to August 2016, Mr. Mahajan worked at Merrill Lynch and Bank of America in various roles in their Global Markets and Investment Banking divisions in New York. He specialized in credit and special situation investing as a Managing Director in the Global Credit and Special Situations group at Bank of America Securities and as a Vice President in the Principal Credit Group at Merrill Lynch. Mr. Mahajan also worked in Merrill Lynch’s energy and power investment banking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97" w:right="1099" w:bottom="144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8"/>
          <w:szCs w:val="18"/>
          <w:color w:val="auto"/>
        </w:rPr>
        <w:t>group for two years. From 1994 to 2001, Mr. Mahajan worked in J.P. Morgan’s investment banking team in Asia. Mr. Mahajan holds a Bachelor of Technology in Electrical Engineering from the Indian Institute of Technology, Bombay and a Master of Business Administration from The Wharton School of the University of Pennsylvania where he graduated as a Palmer Scholar. Mr. Mahajan also holds a Certificate in ESG Investing from the CFA Institute.</w:t>
      </w:r>
    </w:p>
    <w:p>
      <w:pPr>
        <w:spacing w:after="0" w:line="68"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Thomas Geoffroy </w:t>
      </w:r>
      <w:r>
        <w:rPr>
          <w:rFonts w:ascii="Times New Roman" w:cs="Times New Roman" w:eastAsia="Times New Roman" w:hAnsi="Times New Roman"/>
          <w:sz w:val="18"/>
          <w:szCs w:val="18"/>
          <w:color w:val="auto"/>
        </w:rPr>
        <w:t>has served as the Company’s Interim CFO since July 2025. Mr. Geoffroy has over 20 years of accounting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finance experience with expertise in financial reporting, operations and internal controls for the financial services industry including extensive investment fund experience. Mr. Geoffroy has served as the CEO and CCO of Stoneliving Securities, a broker dealer, since February 2026. Mr. Geoffroy formerly served as the CFO of a NASDAQ listed mortgage real estate investment trust, a publicly traded credit-focused asset management firm, and family office. Prior to that he was Finance and Operations Principal (CFO), General Securities Principal and Chief Compliance Officer (“CCO”) for United Capital Markets, a registered broker-dealer specializing in structured finance products. Mr. Geoffroy worked as Controller at Ares Management, and before that he served as Vice President of Fund Administration and Financial Reporting at S.A.C. Capital Advisors. Mr. Geoffroy spent 9 years as a Certified Public Accountant (“CPA”) with Ernst &amp; Young where he was a Senior Manager in the Financial Services Organization’s hedge fund audit practice.</w:t>
      </w:r>
    </w:p>
    <w:p>
      <w:pPr>
        <w:spacing w:after="0" w:line="53"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Peter Sack </w:t>
      </w:r>
      <w:r>
        <w:rPr>
          <w:rFonts w:ascii="Times New Roman" w:cs="Times New Roman" w:eastAsia="Times New Roman" w:hAnsi="Times New Roman"/>
          <w:sz w:val="18"/>
          <w:szCs w:val="18"/>
          <w:color w:val="auto"/>
        </w:rPr>
        <w:t>has served as the Company’s CEO since March 2025. Mr. Sack is a Managing Partner at Chicago Atlantic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LP. Mr. Sack is a credit investor and portfolio manager with experience investing across the capital structure. Prior to joining Chicago Atlantic, Mr. Sack was a Principal at BC Partners Credit from July 2018 to June 2021, where he sourced and underwrote across the firm’s opportunistic and senior lending strategies in a wide array of industries including cannabis related direct lending. Previously, Mr. Sack was an Associate at Atlas Holdings LLC, a private-equity firm focused on supporting distressed manufacturing and distribution companies globally, from July 2012 to June 2016. Mr. Sack serves on the board of directors of Chicago Atlantic Real Estate Finance, Inc., Ability Insurance Company, and the New York City Charter School of the Arts. Mr. Sack speaks Mandarin Chinese and Spanish. Mr. Sack holds a Bachelor of Arts degree in East Asian Studies from Yale University, a Master of Business Administration degree from the Wharton School of the University of Pennsylvania, and was a Fulbright Scholar at Sun Yat-sen University China.</w:t>
      </w:r>
    </w:p>
    <w:p>
      <w:pPr>
        <w:spacing w:after="0" w:line="118" w:lineRule="exact"/>
        <w:rPr>
          <w:sz w:val="20"/>
          <w:szCs w:val="20"/>
          <w:color w:val="auto"/>
        </w:rPr>
      </w:pPr>
    </w:p>
    <w:p>
      <w:pPr>
        <w:jc w:val="both"/>
        <w:ind w:firstLine="44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Andrew Lovitt </w:t>
      </w:r>
      <w:r>
        <w:rPr>
          <w:rFonts w:ascii="Times New Roman" w:cs="Times New Roman" w:eastAsia="Times New Roman" w:hAnsi="Times New Roman"/>
          <w:sz w:val="18"/>
          <w:szCs w:val="18"/>
          <w:color w:val="auto"/>
        </w:rPr>
        <w:t>has served as the Company's CCO and General Counsel since June 2025. Mr. Lovitt is responsible for 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legal, regulatory, and compliance functions across its investment platform. Prior to joining the Company, Mr. Lovitt was an attorney in the Private Credit group at Katten Muchin Rosenman LLP. His practice focused on representing direct lenders, credit funds, and corporate borrowers in a wide range of financing transactions, including senior secured and mezzanine credit facilities, asset-based lending, leveraged buyouts, recapitalizations, and cross-border financings. Andrew’s experience spans both syndicated and bilateral transactions across a variety of industries and capital structures.</w:t>
      </w:r>
    </w:p>
    <w:p>
      <w:pPr>
        <w:spacing w:after="0" w:line="115" w:lineRule="exact"/>
        <w:rPr>
          <w:sz w:val="20"/>
          <w:szCs w:val="20"/>
          <w:color w:val="auto"/>
        </w:rPr>
      </w:pPr>
    </w:p>
    <w:p>
      <w:pPr>
        <w:jc w:val="both"/>
        <w:ind w:firstLine="44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Gianni Fazio </w:t>
      </w:r>
      <w:r>
        <w:rPr>
          <w:rFonts w:ascii="Times New Roman" w:cs="Times New Roman" w:eastAsia="Times New Roman" w:hAnsi="Times New Roman"/>
          <w:sz w:val="18"/>
          <w:szCs w:val="18"/>
          <w:color w:val="auto"/>
        </w:rPr>
        <w:t>has served as the Company’s Chief Accounting Officer since July 2025. Mr. Fazio is a licensed CPA with over 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of finance and accounting experience, focusing on the financial reporting and operations of investment managers. Prior to joining the Company in 2023, Mr. Fazio was a Venture Associate at Adit Ventures where he managed the operations and financial reporting of early-stage and late-stage venture funds. Mr. Fazio began his career as an auditor at Forvis Mazars. Mr. Fazio graduated with a Bachelor and Master of Science in Accountancy from the Long Island University.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Officers</w:t>
      </w:r>
    </w:p>
    <w:p>
      <w:pPr>
        <w:spacing w:after="0" w:line="14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Executive officers hold their office until their successors have been duly elected and qualified, or until the earlier of their resignation or removal.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34" w:right="1099" w:bottom="1440" w:gutter="0" w:footer="0" w:header="0"/>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w:t>
      </w:r>
    </w:p>
    <w:p>
      <w:pPr>
        <w:spacing w:after="0" w:line="14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Board consists of five members. The Board is divided into three classes, with the members of each class serving staggered, three-year terms. The terms of the Company’s Class 2 directors will expire at the Annual Meeting; the terms of the Company’s Class 3 directors will expire at the 2027 annual meeting of stockholders; and the term of the Company’s Class 1 director will expire at the 2028 annual meeting of stockholders.</w:t>
      </w:r>
    </w:p>
    <w:p>
      <w:pPr>
        <w:spacing w:after="0" w:line="11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Ms. VedBrat serves as a Class 1 director. Mr. Da Corte and Ms. Warson serve as Class 2 directors. Messrs. Chorske and Gordon serve as Class 3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w:t>
      </w:r>
    </w:p>
    <w:p>
      <w:pPr>
        <w:spacing w:after="0" w:line="162"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Pursuant to the 1940 Act, a majority of the Board will consist of directors who are not “interested persons” of the Company or of any of its affiliates, as defined in the 1940 Act (the “Independent Directors”). On an annual basis, each member of the Company’s Board is required to complete a questionnaire designed to provide information to assist the Board in determining whether the director is independent under the 1940 Act. The Board limits membership on the Audit Committee, the Compensation Committee and the Nominating Committee to Independent Directors.</w:t>
      </w:r>
    </w:p>
    <w:p>
      <w:pPr>
        <w:spacing w:after="0" w:line="10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Based on these independence standards and the recommendation of the Nominating Committee, after reviewing all relevant transactions and relationships between each director, or any of his or her family members, and the Company or of any of its respective affiliates, the Board determined that Messrs. Da Corte and Chorske and Mses. VedBrat and Warson qualify as Independent Directors. Each director who serves on the Audit Committee is an independent director for purposes of Rule 10A-3 under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Directors</w:t>
      </w:r>
    </w:p>
    <w:p>
      <w:pPr>
        <w:spacing w:after="0" w:line="16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Mr. Gordon is considered an “interested person” (as defined in the 1940 Act) of the Company by virtue of his affiliation with the Adviser.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Meetings and Attendance</w:t>
      </w:r>
    </w:p>
    <w:p>
      <w:pPr>
        <w:spacing w:after="0" w:line="16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Board met 4 times, and acted on various occasions by unanimous written consent, during the fiscal year ended December 31, 2025. Each director attended at least 75% of the aggregate of (i) the total number of meetings of the Board (held during the period for which he or she was a director) and (ii) the total number of meetings held by the committees of the Board on which he or she served (during the period that he or she served) during the fiscal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Attendance at Annual Meeting</w:t>
      </w:r>
    </w:p>
    <w:p>
      <w:pPr>
        <w:spacing w:after="0" w:line="14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Company’s policy is to encourage its directors to attend each annual meeting of stockholders; however, such attendance is not required at this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w:t>
      </w:r>
    </w:p>
    <w:p>
      <w:pPr>
        <w:spacing w:after="0" w:line="162"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Board monitors and performs an oversight role with respect to our business and affairs, including with respect to investment practices and performance, compliance with regulatory requirements and the services, expenses and performance of service providers to us. Among other things, the Board approves the appointment of the Adviser and our officers, reviews and monitors the services and activities performed by the Adviser and our executive officers, and approves the engagement, and reviews the performance of, our independent registered public accounting firm.</w:t>
      </w:r>
    </w:p>
    <w:p>
      <w:pPr>
        <w:spacing w:after="0" w:line="116"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Under the Company’s bylaws, the Board may designate a chairperson to preside over the meetings of the Board and meetings of the stockholders and to perform such other duties as may be assigned to him or her by the Board. We do not have a fixed policy as to whether the chairperson of the Board should be an Independent Director and believe that we should maintain the flexibility to select the chairperson and reorganize our leadership structure, from time to time, based on the criteria that is in our best interests and the best interests of our stockholders at such times.</w:t>
      </w:r>
    </w:p>
    <w:p>
      <w:pPr>
        <w:spacing w:after="0" w:line="102"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Mr. Gordon serves as the Executive Chairperson of the Board and he is also the Co-Chief Investment Officer of the Company and serves on the Company’s investment committee (the “Investment Committee”). We believe that Mr. Gordon’s history with the Company, familiarity with its investment platform, and extensive knowledge of the financial services industry qualify him to serve as the Executive Chairperson of the Board. We believe that we are best served through this existing leadership structure, as Mr. Gordon’s relationship with the Adviser provides an effective bridge and encourages an open dialogue between management and the Board, ensuring that these groups act with a common purpose.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20" w:name="page21"/>
    <w:bookmarkEnd w:id="20"/>
    <w:p>
      <w:pPr>
        <w:jc w:val="both"/>
        <w:ind w:firstLine="441"/>
        <w:spacing w:after="0" w:line="257" w:lineRule="auto"/>
        <w:rPr>
          <w:sz w:val="20"/>
          <w:szCs w:val="20"/>
          <w:color w:val="auto"/>
        </w:rPr>
      </w:pPr>
      <w:r>
        <w:rPr>
          <w:rFonts w:ascii="Times New Roman" w:cs="Times New Roman" w:eastAsia="Times New Roman" w:hAnsi="Times New Roman"/>
          <w:sz w:val="18"/>
          <w:szCs w:val="18"/>
          <w:color w:val="auto"/>
        </w:rPr>
        <w:t>Mr. Chorske serves as the lead Independent Director of the Board. In his role as lead Independent Director, Mr. Chorske, among other things: (i) presides over Board meetings in the absence of the Chairperson of the Board; (ii) presides over executive sessions of the Independent Directors; (iii) along with the Chairperson of the Board, oversees the development of agendas for Board meetings;</w:t>
      </w:r>
    </w:p>
    <w:p>
      <w:pPr>
        <w:spacing w:after="0" w:line="1" w:lineRule="exact"/>
        <w:rPr>
          <w:sz w:val="20"/>
          <w:szCs w:val="20"/>
          <w:color w:val="auto"/>
        </w:rPr>
      </w:pPr>
    </w:p>
    <w:p>
      <w:pPr>
        <w:jc w:val="both"/>
        <w:ind w:firstLine="4"/>
        <w:spacing w:after="0" w:line="255" w:lineRule="auto"/>
        <w:tabs>
          <w:tab w:leader="none" w:pos="31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facilitates communication between the Independent Directors and management, and among the Independent Directors; (v) serves as a key point person for dealings between the Independent Directors and management; and (vi) has such other responsibilities as the Board or Independent Directors determine from time to time.</w:t>
      </w:r>
    </w:p>
    <w:p>
      <w:pPr>
        <w:spacing w:after="0" w:line="105"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Our corporate governance practices include regular meetings of the Independent Directors in executive session without the presence of interested directors and management, the establishment of the Audit Committee, the Compensation Committee, and the Nominating Committee, each of which is comprised solely of Independent Directors, and the appointment of a CCO, with whom the Independent Directors meet without the presence of interested directors and other members of management within executive session, for administering our compliance policies and procedures.</w:t>
      </w:r>
    </w:p>
    <w:p>
      <w:pPr>
        <w:spacing w:after="0" w:line="116"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Board believes that its leadership structure is appropriate in light of the Company’s characteristics and circumstances because the structure allocates areas of responsibility among the individual directors and the committees in a manner that encourages effective oversight. The Board also believes that its size creates a highly efficient governance structure that provides ample opportunity for direct communication and interaction between management of the Company and the Board.</w:t>
      </w:r>
    </w:p>
    <w:p>
      <w:pPr>
        <w:spacing w:after="0" w:line="11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While certain members of the Board may participate on the boards of directors of other public companies, we do not believe their participation will be excessive or interfere with their duties on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Role in Risk Oversight</w:t>
      </w:r>
    </w:p>
    <w:p>
      <w:pPr>
        <w:spacing w:after="0" w:line="14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Board performs its risk oversight function primarily through (a) its three standing committees, which report to the entire Board and are comprised solely of Independent Directors and (b) active monitoring of our CCO and our compliance policies and procedures.</w:t>
      </w:r>
    </w:p>
    <w:p>
      <w:pPr>
        <w:spacing w:after="0" w:line="108"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As described below in more detail under “Audit Committee,” “Nominating Committee” and “Compensation Committee,” the Audit Committee, the Nominating Committee and the Compensation Committee assist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and discussing with management our major risk exposures and the steps management has taken to monitor and control such exposures, including our risk assessment and risk management policies, as well as the establishment of guidelines regarding the valuation of our loans and investments. The Nominating Committee’s risk oversight responsibilities include selecting, researching and nominating directors for election by our stockholders, developing and recommending to the Board a set of corporate governance principles, planning for the succession of our executive officers, and overseeing the evaluation of the Board, its committees and our management. The Compensation Committee’s risk oversight responsibilities include reviewing and approving the reimbursement by the Company of the compensation of the Company’s CFO and CCO and their respective staffs (based on a percentage of time such individuals devote, on an estimated basis, to our business affairs).</w:t>
      </w:r>
    </w:p>
    <w:p>
      <w:pPr>
        <w:spacing w:after="0" w:line="122"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Board also performs its risk oversight responsibilities with the assistance of the CCO. The CCO prepares a written report at least annually discussing the adequacy and effectiveness of the compliance policies and procedures of the Company and certain of its service providers. The CCO’s report, which is reviewed by the Board, addresses at a minimum: (a) the operation of the compliance policies and procedures of the Company and certain of its service providers since the last report; (b) any material changes to such policies and procedures since the last report; (c) any recommendations for material changes to such policies and procedures as a result of the CCO’s annual review; and (d) any compliance matter that has occurred since the date of the last report about which the Board would reasonably need to know to oversee our compliance activities and risks. In addition, the CCO meets in executive session with the Independent Directors periodically, but in no event less than once each year.</w:t>
      </w:r>
    </w:p>
    <w:p>
      <w:pPr>
        <w:spacing w:after="0" w:line="11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We believe that the role of the Board in risk oversight is effective and appropriate given the extensive regulation to which we are subject as a business development company (“BDC”). Specifically, as a BDC, we must comply with certain regulatory requirements that control the levels of risk in our business and operations. For example, our ability to incur indebtedness is limited such that our asset coverage must equal at least 150% immediately after each time we incur indebtedness, and we generally have to invest at least 70% of our total assets in “qualifying assets.” In addition, we have elected to be treated, currently qualify and intend to qualify annually as a regulated investment company (“RIC”) under Subchapter M of the Internal Revenue Code of 1986, as amended (the “Code”), for U.S. federal income tax purposes, including for our tax year ended March 31, 2026. As a RIC, we must, among other things, meet certain income source and asset diversification requirements.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34" w:right="10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Communications with Directors</w:t>
      </w:r>
    </w:p>
    <w:p>
      <w:pPr>
        <w:spacing w:after="0" w:line="16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Stockholders and other interested parties may contact any member (or all members) of the Board by mail. To communicate with the Board, any individual directors or any group or committee of directors, correspondence should be addressed to the Board or any such individual directors or group or committee of directors by either name or title. All such correspondence should be sent to Chicago Atlantic BDC, Inc., 600 Madison Avenue, Suite 1800, New York, New York 10022, Attention: Corporate Secretary.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w:t>
      </w:r>
    </w:p>
    <w:p>
      <w:pPr>
        <w:spacing w:after="0" w:line="14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 xml:space="preserve">The Board has an Audit Committee, a Nominating Committee, and a Compensation Committee, and may form additional committees in the future. A brief description of each committee is included in this Proxy Statement, and the charters of the Audit Committee, Nominating Committee, and Compensation Committee can be accessed on the Company’s website at </w:t>
      </w:r>
      <w:r>
        <w:rPr>
          <w:rFonts w:ascii="Times New Roman" w:cs="Times New Roman" w:eastAsia="Times New Roman" w:hAnsi="Times New Roman"/>
          <w:sz w:val="18"/>
          <w:szCs w:val="18"/>
          <w:i w:val="1"/>
          <w:iCs w:val="1"/>
          <w:color w:val="auto"/>
        </w:rPr>
        <w:t>lien.chicagoatlantic.com/corporate-governance/documents-and-charters.</w:t>
      </w:r>
    </w:p>
    <w:p>
      <w:pPr>
        <w:spacing w:after="0" w:line="11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the members of each of the Board’s committees are as follows (the names of the respective committee chairs are bolded):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Audit Committee</w:t>
            </w:r>
          </w:p>
        </w:tc>
        <w:tc>
          <w:tcPr>
            <w:tcW w:w="160" w:type="dxa"/>
            <w:vAlign w:val="bottom"/>
          </w:tcPr>
          <w:p>
            <w:pPr>
              <w:spacing w:after="0"/>
              <w:rPr>
                <w:sz w:val="15"/>
                <w:szCs w:val="15"/>
                <w:color w:val="auto"/>
              </w:rPr>
            </w:pP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Committee</w:t>
            </w:r>
          </w:p>
        </w:tc>
        <w:tc>
          <w:tcPr>
            <w:tcW w:w="140" w:type="dxa"/>
            <w:vAlign w:val="bottom"/>
          </w:tcPr>
          <w:p>
            <w:pPr>
              <w:spacing w:after="0"/>
              <w:rPr>
                <w:sz w:val="15"/>
                <w:szCs w:val="15"/>
                <w:color w:val="auto"/>
              </w:rPr>
            </w:pP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Committee</w:t>
            </w:r>
          </w:p>
        </w:tc>
      </w:tr>
      <w:tr>
        <w:trPr>
          <w:trHeight w:val="187"/>
        </w:trPr>
        <w:tc>
          <w:tcPr>
            <w:tcW w:w="30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Michael W. Chorske</w:t>
            </w:r>
          </w:p>
        </w:tc>
        <w:tc>
          <w:tcPr>
            <w:tcW w:w="160" w:type="dxa"/>
            <w:vAlign w:val="bottom"/>
          </w:tcPr>
          <w:p>
            <w:pPr>
              <w:spacing w:after="0"/>
              <w:rPr>
                <w:sz w:val="16"/>
                <w:szCs w:val="16"/>
                <w:color w:val="auto"/>
              </w:rPr>
            </w:pPr>
          </w:p>
        </w:tc>
        <w:tc>
          <w:tcPr>
            <w:tcW w:w="32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Michael W. Chorske</w:t>
            </w:r>
          </w:p>
        </w:tc>
        <w:tc>
          <w:tcPr>
            <w:tcW w:w="140" w:type="dxa"/>
            <w:vAlign w:val="bottom"/>
          </w:tcPr>
          <w:p>
            <w:pPr>
              <w:spacing w:after="0"/>
              <w:rPr>
                <w:sz w:val="16"/>
                <w:szCs w:val="16"/>
                <w:color w:val="auto"/>
              </w:rPr>
            </w:pPr>
          </w:p>
        </w:tc>
        <w:tc>
          <w:tcPr>
            <w:tcW w:w="32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Michael W. Chorske</w:t>
            </w:r>
          </w:p>
        </w:tc>
      </w:tr>
      <w:tr>
        <w:trPr>
          <w:trHeight w:val="220"/>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Americo Da Corte</w:t>
            </w:r>
          </w:p>
        </w:tc>
        <w:tc>
          <w:tcPr>
            <w:tcW w:w="160" w:type="dxa"/>
            <w:vAlign w:val="bottom"/>
          </w:tcPr>
          <w:p>
            <w:pPr>
              <w:spacing w:after="0"/>
              <w:rPr>
                <w:sz w:val="19"/>
                <w:szCs w:val="19"/>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Americo Da Corte</w:t>
            </w:r>
          </w:p>
        </w:tc>
        <w:tc>
          <w:tcPr>
            <w:tcW w:w="140" w:type="dxa"/>
            <w:vAlign w:val="bottom"/>
          </w:tcPr>
          <w:p>
            <w:pPr>
              <w:spacing w:after="0"/>
              <w:rPr>
                <w:sz w:val="19"/>
                <w:szCs w:val="19"/>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Americo Da Corte</w:t>
            </w:r>
          </w:p>
        </w:tc>
      </w:tr>
      <w:tr>
        <w:trPr>
          <w:trHeight w:val="212"/>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Supurna VedBrat</w:t>
            </w:r>
          </w:p>
        </w:tc>
        <w:tc>
          <w:tcPr>
            <w:tcW w:w="16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Supurna VedBrat</w:t>
            </w:r>
          </w:p>
        </w:tc>
        <w:tc>
          <w:tcPr>
            <w:tcW w:w="14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Supurna VedBrat</w:t>
            </w:r>
          </w:p>
        </w:tc>
      </w:tr>
      <w:tr>
        <w:trPr>
          <w:trHeight w:val="238"/>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Tracey Brophy Warson</w:t>
            </w:r>
          </w:p>
        </w:tc>
        <w:tc>
          <w:tcPr>
            <w:tcW w:w="160" w:type="dxa"/>
            <w:vAlign w:val="bottom"/>
          </w:tcPr>
          <w:p>
            <w:pPr>
              <w:spacing w:after="0"/>
              <w:rPr>
                <w:sz w:val="20"/>
                <w:szCs w:val="20"/>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Tracey Brophy Warson</w:t>
            </w:r>
          </w:p>
        </w:tc>
        <w:tc>
          <w:tcPr>
            <w:tcW w:w="140" w:type="dxa"/>
            <w:vAlign w:val="bottom"/>
          </w:tcPr>
          <w:p>
            <w:pPr>
              <w:spacing w:after="0"/>
              <w:rPr>
                <w:sz w:val="20"/>
                <w:szCs w:val="20"/>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Tracey Brophy Warson</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Audit Committee is responsible for selecting, engaging and discharging our independent accountants, reviewing the plans, scope and results of the audit engagement with our independent accountants, approving professional services provided by our independent accountants (including compensation therefore), reviewing the independence of our independent accountants and reviewing the adequacy of our internal control over financial reporting, as well as establishing guidelines regarding the valuation of our loans and investments. The members of the Audit Committee are Mr. Chorske, Mr. Da Corte, Ms. VedBrat and Ms. Warson, each of whom is not an interested person of the Company for purposes of the 1940 Act and is independent for purposes of the NASDAQ corporate governance regulations. Mr. Da Corte serves as the Chairperson of the Audit Committee. The Board has determined that Mr. Chorske is an “audit committee financial expert” as defined under SEC rules.</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Audit Committee held four formal meetings during the fiscal year ended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Committee</w:t>
      </w:r>
    </w:p>
    <w:p>
      <w:pPr>
        <w:spacing w:after="0" w:line="162"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Nominating Committee is responsible for determining criteria for service on the Board, identifying, researching and nominating directors for election by our stockholders, selecting nominees to fill vacancies on the Board or a committee of the Board, developing and recommending to the Board a set of corporate governance principles, planning for the succession of our executive officers, overseeing the self-evaluation of the Board and its committees and evaluation of our management, and recommending to the Board the compensation to be paid to the Independent Directors. The Nominating Committee considers nominees properly recommended by our stockholders. The members of the Nominating Committee are Mr. Chorske, Mr. Da Corte, Ms. VedBrat and Ms. Warson, each of whom is not an interested person of the Company for purposes of the 1940 Act and is independent for purposes of the NASDAQ corporate governance regulations. Ms. Warson serves as the Chairperson of the Nominating Committee.</w:t>
      </w:r>
    </w:p>
    <w:p>
      <w:pPr>
        <w:spacing w:after="0" w:line="124"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The Nominating Committee will consider qualified director nominees recommended by stockholders when such recommendations are submitted in accordance with the Company’s bylaws and any other applicable law, rule or regulation regarding director nominations. The Company’s bylaws require that the recommendation for nomination must be delivered to our Corporate Secretary at the principal executive offices of the Company not earlier than the 150th day prior to the one year anniversary of the date of the Company’s proxy statement for the preceding year’s annual meeting, and not later than the 120th day prior to the first anniversary of the date of the proxy statement for the preceding year’s annual meeting. If the date of the annual meeting has changed by more than 30 days from the first anniversary of the date of the preceding year’s annual meeting, the nomination must be delivered not earlier than the 150th day prior to the date of such annual meeting, and not later than the later of the 120th day prior to the date of such annual meeting or the tenth day following the day on which public announcement of the date of such meeting is first made. These requirements of the Company’s bylaws are separate from the requirements discussed below under “Submission of Stockholder Proposals” to have the stockholder nomination included in the Company’s proxy statement and form of proxy/voting instruction card pursuant to the SEC’s rules, including Rule 14a-8.</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evaluating director nominees, the Nominating Committee considers, among others, the following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97" w:right="1099" w:bottom="1440" w:gutter="0" w:footer="0" w:header="0"/>
        </w:sectPr>
      </w:pPr>
    </w:p>
    <w:bookmarkStart w:id="22" w:name="page23"/>
    <w:bookmarkEnd w:id="22"/>
    <w:p>
      <w:pPr>
        <w:ind w:left="880" w:hanging="436"/>
        <w:spacing w:after="0" w:line="282"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individual possesses high standards of character and integrity, relevant experience, a willingness to ask hard questions and the ability to work well with others;</w:t>
      </w:r>
    </w:p>
    <w:p>
      <w:pPr>
        <w:spacing w:after="0" w:line="53"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individual is free of conflicts of interest that would violate applicable laws or regulations or interfere with the proper performance of the responsibilities of a director;</w:t>
      </w:r>
    </w:p>
    <w:p>
      <w:pPr>
        <w:spacing w:after="0" w:line="53"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individual is willing and able to devote sufficient time to the affairs of the Company and be diligent in fulfilling the responsibilities of a director and Board committee member;</w:t>
      </w:r>
    </w:p>
    <w:p>
      <w:pPr>
        <w:spacing w:after="0" w:line="53"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individual has the capacity and desire to represent the balanced, best interests of the stockholder as a whole and not a special interest group or constituency; and</w:t>
      </w:r>
    </w:p>
    <w:p>
      <w:pPr>
        <w:spacing w:after="0" w:line="53" w:lineRule="exact"/>
        <w:rPr>
          <w:rFonts w:ascii="Times New Roman" w:cs="Times New Roman" w:eastAsia="Times New Roman" w:hAnsi="Times New Roman"/>
          <w:sz w:val="18"/>
          <w:szCs w:val="18"/>
          <w:color w:val="auto"/>
        </w:rPr>
      </w:pPr>
    </w:p>
    <w:p>
      <w:pPr>
        <w:jc w:val="both"/>
        <w:ind w:left="880" w:hanging="436"/>
        <w:spacing w:after="0" w:line="266"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individual possesses the skills, experiences (such as current business experience or other such current involvement in public service, academia or scientific communities), particular areas of expertise, particular backgrounds, and other characteristics that will help ensure the effectiveness of the Board and Board committees.</w:t>
      </w:r>
    </w:p>
    <w:p>
      <w:pPr>
        <w:spacing w:after="0" w:line="10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Nominating Committee’s goal is to assemble a board that brings to the Company a variety of perspectives and skills derived from high-quality business and professional experience.</w:t>
      </w:r>
    </w:p>
    <w:p>
      <w:pPr>
        <w:spacing w:after="0" w:line="8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Other than the foregoing, there are no stated minimum criteria for director nominees, although the Nominating Committee may also consider such other factors as it may deem are in the best interests of the Company and its stockholders. The Nominating Committee also believes it appropriate for certain key members of the Company’s management to participate as members of the Board. The Nominating Committee does not assign specific weights to particular criteria and no particular criterion is necessarily applicable to all prospective nominees. We believe that the backgrounds and qualifications of the directors, considered as a group, should provide a significant composite mix of experience, knowledge and abilities that will allow the Board to fulfill its responsibilities. The Board does not have a specific diversity policy, but considers diversity of race, religion, national origin, gender, sexual orientation, disability, cultural background and professional experiences in evaluating candidates for Board membership.</w:t>
      </w:r>
    </w:p>
    <w:p>
      <w:pPr>
        <w:spacing w:after="0" w:line="124"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Nominating Committee identifies nominees by first evaluating the current members of the Board willing to continue in service. Current members of the Board with skills and experience that are relevant to the Company’s business and who are willing to continue in service are considered for re-nomination, balancing the value of continuity of service by existing members of the Board with that of obtaining a new perspective. If any member of the Board does not wish to continue in service or if the Nominating Committee or the Board decides not to re-nominate a member for re-election, the Nominating Committee will identify the desired skills and experience of a new nominee in light of the criteria above. The members of the Nominating Committee and the Board will be polled for suggestions as to individuals meeting the criteria of the Nominating Committee. Research may also be performed to identify qualified individuals. To date, the Company has not engaged third-parties to identify or evaluate or assist in identifying potential nominees, although the Company reserves the right in the future to retain a third-party search firm, if necessary.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Nominating Committee held two formal meetings in the fiscal year ended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48"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Compensation Committee is responsible for reviewing and approving the reimbursement by us of the compensation of our CFO and CCO and their respective staffs (based on a percentage of time such individuals devote, on an estimated basis, to our business affairs). The Compensation Committee has the authority to engage the services of outside advisers, experts and others as it deems necessary to assist the committee in connection with its responsibilities. The current members of the Compensation Committee are Mr. Chorske, Mr. Da Corte, Ms. VedBrat and Ms. Warson, each of whom is not an interested person of the Company for purposes of the 1940 Act and is independent for purposes of the NASDAQ corporate governance regulations. Ms. Warson serves as the Chairperson of the Compensation Committee.</w:t>
      </w:r>
    </w:p>
    <w:p>
      <w:pPr>
        <w:spacing w:after="0" w:line="12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As none of the Company’s executive officers are directly compensated by the Company, the Compensation Committee will not produce and/or review a report on executive compensation practices.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Compensation Committee held one formal meeting in the fiscal year ended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4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adopted a Code of Business Conduct and Ethics that applies to the Company’s executive officers, including its CEO and CFO, as well as every officer, director and employee of the Company. The Company’s Code of Business Conduct and Ethics can be accessed on the Company’s website at </w:t>
      </w:r>
      <w:r>
        <w:rPr>
          <w:rFonts w:ascii="Times New Roman" w:cs="Times New Roman" w:eastAsia="Times New Roman" w:hAnsi="Times New Roman"/>
          <w:sz w:val="18"/>
          <w:szCs w:val="18"/>
          <w:i w:val="1"/>
          <w:iCs w:val="1"/>
          <w:color w:val="auto"/>
        </w:rPr>
        <w:t>lien.chicagoatlantic.com/corporate-governance/documents-and-charters.</w:t>
      </w:r>
    </w:p>
    <w:p>
      <w:pPr>
        <w:spacing w:after="0" w:line="10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Company’s Code of Business Conduct and Ethics or material waivers of the Code of Business Conduct and Ethics that apply to the Company’s CEO and CFO. If the Company makes any substantive amendment to,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23" w:name="page24"/>
    <w:bookmarkEnd w:id="23"/>
    <w:p>
      <w:pPr>
        <w:spacing w:after="0" w:line="282" w:lineRule="auto"/>
        <w:rPr>
          <w:sz w:val="20"/>
          <w:szCs w:val="20"/>
          <w:color w:val="auto"/>
        </w:rPr>
      </w:pPr>
      <w:r>
        <w:rPr>
          <w:rFonts w:ascii="Times New Roman" w:cs="Times New Roman" w:eastAsia="Times New Roman" w:hAnsi="Times New Roman"/>
          <w:sz w:val="18"/>
          <w:szCs w:val="18"/>
          <w:color w:val="auto"/>
        </w:rPr>
        <w:t xml:space="preserve">grants a waiver from, a provision of its Code of Business Conduct and Ethics, the Company will promptly disclose the nature of the amendment or waiver on its website at </w:t>
      </w:r>
      <w:r>
        <w:rPr>
          <w:rFonts w:ascii="Times New Roman" w:cs="Times New Roman" w:eastAsia="Times New Roman" w:hAnsi="Times New Roman"/>
          <w:sz w:val="18"/>
          <w:szCs w:val="18"/>
          <w:i w:val="1"/>
          <w:iCs w:val="1"/>
          <w:color w:val="auto"/>
        </w:rPr>
        <w:t>lien.chicagoatlantic.com</w:t>
      </w:r>
      <w:r>
        <w:rPr>
          <w:rFonts w:ascii="Times New Roman" w:cs="Times New Roman" w:eastAsia="Times New Roman" w:hAnsi="Times New Roman"/>
          <w:sz w:val="18"/>
          <w:szCs w:val="18"/>
          <w:color w:val="auto"/>
        </w:rPr>
        <w:t xml:space="preserve"> or in a Current Report on Form 8-K.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34" w:right="10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6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Company also maintains insider trading policies and procedures governing the purchase, sale, and/or other dispositions of the Company’s securities by directors, officers and the Company, and has implemented processes that it believes are reasonably designed to promote compliance with insider trading laws, rules, and regulations, and any listing standards applicable to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Officer and Director Hedging</w:t>
      </w:r>
    </w:p>
    <w:p>
      <w:pPr>
        <w:spacing w:after="0" w:line="14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Company has not adopted any practices or policies regarding the ability of employees (including officers) or directors of the Company, or any of their designees, to purchase financial instruments (including prepaid variable forward contracts, equity swaps, collars, and exchange funds), or otherwise engage in transactions, that hedge or offset, or are designed to hedge or offset, any decrease in the market value of the Company’s equity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6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Company does not currently have any employees and does not expect to have any employees. Services necessary for the Company’s business are provided by individuals who are employees of the Adviser or its affiliates, pursuant to the terms of the Company’s investment advisory agreement (the “Investment Advisory</w:t>
      </w:r>
    </w:p>
    <w:p>
      <w:pPr>
        <w:spacing w:after="0" w:line="10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Agreement”) and the Company’s administration agreement (the “Administration Agreement”), as applicable. The Company’s day-to-day investment and administrative operations are managed by the Adviser. Most of the services necessary for the origination and management of the Company’s investment portfolio will be provided by investment professionals employed by the Adviser or its affiliates.</w:t>
      </w:r>
    </w:p>
    <w:p>
      <w:pPr>
        <w:spacing w:after="0" w:line="9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None of the Company’s executive officers will receive direct compensation from us. The Company will reimburse the Adviser for an allocable portion of the compensation paid by the Adviser (or its affiliates) to the CCO and the CFO and their respective staffs (based on the percentage of time such individuals devote, on an estimated basis, to the Company’s business affairs). Members of the Investment Committee, through their financial interests in the Adviser, are entitled to a portion of the profits earned by the Adviser, which includes any fees payable to the Adviser under the terms of the Investment Advisory Agreement, less expenses incurred by the Adviser in performing its services under the Investment Advisory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97" w:right="1099" w:bottom="1440" w:gutter="0" w:footer="0" w:header="0"/>
        </w:sectPr>
      </w:pPr>
    </w:p>
    <w:bookmarkStart w:id="25" w:name="page26"/>
    <w:bookmarkEnd w:id="2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 Fees</w:t>
      </w:r>
    </w:p>
    <w:p>
      <w:pPr>
        <w:spacing w:after="0" w:line="162"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We pay each Independent Director an annual retainer fee of $50,000, payable quarterly to Independent Directors that attended at least 75% of the meetings during the prior twelve-month period. In addition, the Independent Directors receive reimbursement of reasonable out-of-pocket expenses incurred in connection with attending each Board meeting and each Board committee meeting not held concurrently with a Board meeting. In addition, the Chairperson of the Audit Committee receives an annual retainer of $20,000, the Chairperson of the Compensation Committee receives an annual retainer of $10,000, the Chairperson of the Nominating Committee receives an annual retainer of $5,000, and the lead Independent Director receives an annual retainer of $15,000..</w:t>
      </w:r>
    </w:p>
    <w:p>
      <w:pPr>
        <w:spacing w:after="0" w:line="106"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The Company also pays each Independent Director a retainer fee of $7,500 in connection with his or her service on a special committee of the Board (the “Special Committee”), and the Chairperson of the Special Committee receives an additional retainer fee of $1,500. In addition, each Independent Director receives $1,000 for each Special Committee meeting in which the director participates.</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compensation is paid to directors who are interested persons of the Company as defined in the 1940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Summary Compensation Table</w:t>
      </w:r>
    </w:p>
    <w:p>
      <w:pPr>
        <w:spacing w:after="0" w:line="162" w:lineRule="exact"/>
        <w:rPr>
          <w:sz w:val="20"/>
          <w:szCs w:val="20"/>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compensation that we paid to each Independent Director for his or her services as a director during the fiscal year ended December 31, 2025.</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Pension or</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100" w:type="dxa"/>
            <w:vAlign w:val="bottom"/>
          </w:tcPr>
          <w:p>
            <w:pPr>
              <w:spacing w:after="0"/>
              <w:rPr>
                <w:sz w:val="12"/>
                <w:szCs w:val="12"/>
                <w:color w:val="auto"/>
              </w:rPr>
            </w:pPr>
          </w:p>
        </w:tc>
        <w:tc>
          <w:tcPr>
            <w:tcW w:w="112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2"/>
                <w:szCs w:val="12"/>
                <w:color w:val="auto"/>
              </w:rPr>
            </w:pPr>
          </w:p>
        </w:tc>
        <w:tc>
          <w:tcPr>
            <w:tcW w:w="10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Accrued as</w:t>
            </w: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Part of</w:t>
            </w:r>
          </w:p>
        </w:tc>
        <w:tc>
          <w:tcPr>
            <w:tcW w:w="100" w:type="dxa"/>
            <w:vAlign w:val="bottom"/>
          </w:tcPr>
          <w:p>
            <w:pPr>
              <w:spacing w:after="0"/>
              <w:rPr>
                <w:sz w:val="12"/>
                <w:szCs w:val="12"/>
                <w:color w:val="auto"/>
              </w:rPr>
            </w:pPr>
          </w:p>
        </w:tc>
        <w:tc>
          <w:tcPr>
            <w:tcW w:w="112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Annual Benefits</w:t>
            </w:r>
          </w:p>
        </w:tc>
        <w:tc>
          <w:tcPr>
            <w:tcW w:w="120" w:type="dxa"/>
            <w:vAlign w:val="bottom"/>
          </w:tcPr>
          <w:p>
            <w:pPr>
              <w:spacing w:after="0"/>
              <w:rPr>
                <w:sz w:val="12"/>
                <w:szCs w:val="12"/>
                <w:color w:val="auto"/>
              </w:rPr>
            </w:pPr>
          </w:p>
        </w:tc>
        <w:tc>
          <w:tcPr>
            <w:tcW w:w="1080" w:type="dxa"/>
            <w:vAlign w:val="bottom"/>
            <w:gridSpan w:val="2"/>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4900" w:type="dxa"/>
            <w:vAlign w:val="bottom"/>
            <w:vMerge w:val="restart"/>
          </w:tcPr>
          <w:p>
            <w:pPr>
              <w:ind w:left="22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1100" w:type="dxa"/>
            <w:vAlign w:val="bottom"/>
            <w:gridSpan w:val="2"/>
          </w:tcPr>
          <w:p>
            <w:pPr>
              <w:jc w:val="right"/>
              <w:ind w:right="92"/>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08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00" w:type="dxa"/>
            <w:vAlign w:val="bottom"/>
          </w:tcPr>
          <w:p>
            <w:pPr>
              <w:spacing w:after="0"/>
              <w:rPr>
                <w:sz w:val="12"/>
                <w:szCs w:val="12"/>
                <w:color w:val="auto"/>
              </w:rPr>
            </w:pPr>
          </w:p>
        </w:tc>
        <w:tc>
          <w:tcPr>
            <w:tcW w:w="112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Upon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73"/>
        </w:trPr>
        <w:tc>
          <w:tcPr>
            <w:tcW w:w="4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From Company</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1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Americo Da Corte</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69,952</w:t>
            </w:r>
          </w:p>
        </w:tc>
        <w:tc>
          <w:tcPr>
            <w:tcW w:w="100" w:type="dxa"/>
            <w:vAlign w:val="bottom"/>
          </w:tcPr>
          <w:p>
            <w:pPr>
              <w:spacing w:after="0"/>
              <w:rPr>
                <w:sz w:val="18"/>
                <w:szCs w:val="18"/>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69,952</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W. Chorske</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64,956</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64,956</w:t>
            </w:r>
          </w:p>
        </w:tc>
        <w:tc>
          <w:tcPr>
            <w:tcW w:w="0" w:type="dxa"/>
            <w:vAlign w:val="bottom"/>
          </w:tcPr>
          <w:p>
            <w:pPr>
              <w:spacing w:after="0"/>
              <w:rPr>
                <w:sz w:val="1"/>
                <w:szCs w:val="1"/>
                <w:color w:val="auto"/>
              </w:rPr>
            </w:pPr>
          </w:p>
        </w:tc>
      </w:tr>
      <w:tr>
        <w:trPr>
          <w:trHeight w:val="164"/>
        </w:trPr>
        <w:tc>
          <w:tcPr>
            <w:tcW w:w="490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Tracey Brophy Warson</w:t>
            </w:r>
          </w:p>
        </w:tc>
        <w:tc>
          <w:tcPr>
            <w:tcW w:w="260" w:type="dxa"/>
            <w:vAlign w:val="bottom"/>
            <w:gridSpan w:val="2"/>
          </w:tcPr>
          <w:p>
            <w:pPr>
              <w:ind w:left="120"/>
              <w:spacing w:after="0" w:line="164"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line="164" w:lineRule="exact"/>
              <w:rPr>
                <w:sz w:val="20"/>
                <w:szCs w:val="20"/>
                <w:color w:val="auto"/>
              </w:rPr>
            </w:pPr>
            <w:r>
              <w:rPr>
                <w:rFonts w:ascii="Times New Roman" w:cs="Times New Roman" w:eastAsia="Times New Roman" w:hAnsi="Times New Roman"/>
                <w:sz w:val="18"/>
                <w:szCs w:val="18"/>
                <w:color w:val="auto"/>
              </w:rPr>
              <w:t>64,955</w:t>
            </w:r>
          </w:p>
        </w:tc>
        <w:tc>
          <w:tcPr>
            <w:tcW w:w="100" w:type="dxa"/>
            <w:vAlign w:val="bottom"/>
          </w:tcPr>
          <w:p>
            <w:pPr>
              <w:spacing w:after="0"/>
              <w:rPr>
                <w:sz w:val="14"/>
                <w:szCs w:val="14"/>
                <w:color w:val="auto"/>
              </w:rPr>
            </w:pPr>
          </w:p>
        </w:tc>
        <w:tc>
          <w:tcPr>
            <w:tcW w:w="1080" w:type="dxa"/>
            <w:vAlign w:val="bottom"/>
          </w:tcPr>
          <w:p>
            <w:pPr>
              <w:ind w:left="80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1120" w:type="dxa"/>
            <w:vAlign w:val="bottom"/>
          </w:tcPr>
          <w:p>
            <w:pPr>
              <w:ind w:left="840"/>
              <w:spacing w:after="0" w:line="164"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
              <w:spacing w:after="0" w:line="164" w:lineRule="exact"/>
              <w:rPr>
                <w:sz w:val="20"/>
                <w:szCs w:val="20"/>
                <w:color w:val="auto"/>
              </w:rPr>
            </w:pPr>
            <w:r>
              <w:rPr>
                <w:rFonts w:ascii="Times New Roman" w:cs="Times New Roman" w:eastAsia="Times New Roman" w:hAnsi="Times New Roman"/>
                <w:sz w:val="18"/>
                <w:szCs w:val="18"/>
                <w:color w:val="auto"/>
              </w:rPr>
              <w:t>64,955</w:t>
            </w:r>
          </w:p>
        </w:tc>
        <w:tc>
          <w:tcPr>
            <w:tcW w:w="0" w:type="dxa"/>
            <w:vAlign w:val="bottom"/>
          </w:tcPr>
          <w:p>
            <w:pPr>
              <w:spacing w:after="0"/>
              <w:rPr>
                <w:sz w:val="1"/>
                <w:szCs w:val="1"/>
                <w:color w:val="auto"/>
              </w:rPr>
            </w:pPr>
          </w:p>
        </w:tc>
      </w:tr>
      <w:tr>
        <w:trPr>
          <w:trHeight w:val="216"/>
        </w:trPr>
        <w:tc>
          <w:tcPr>
            <w:tcW w:w="4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Patrick McCauley</w:t>
            </w:r>
            <w:r>
              <w:rPr>
                <w:rFonts w:ascii="Times New Roman" w:cs="Times New Roman" w:eastAsia="Times New Roman" w:hAnsi="Times New Roman"/>
                <w:sz w:val="24"/>
                <w:szCs w:val="24"/>
                <w:color w:val="auto"/>
                <w:vertAlign w:val="superscript"/>
              </w:rPr>
              <w:t>(1)(4)</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27,534</w:t>
            </w:r>
          </w:p>
        </w:tc>
        <w:tc>
          <w:tcPr>
            <w:tcW w:w="100" w:type="dxa"/>
            <w:vAlign w:val="bottom"/>
          </w:tcPr>
          <w:p>
            <w:pPr>
              <w:spacing w:after="0"/>
              <w:rPr>
                <w:sz w:val="18"/>
                <w:szCs w:val="18"/>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27,534</w:t>
            </w:r>
          </w:p>
        </w:tc>
        <w:tc>
          <w:tcPr>
            <w:tcW w:w="0" w:type="dxa"/>
            <w:vAlign w:val="bottom"/>
          </w:tcPr>
          <w:p>
            <w:pPr>
              <w:spacing w:after="0"/>
              <w:rPr>
                <w:sz w:val="1"/>
                <w:szCs w:val="1"/>
                <w:color w:val="auto"/>
              </w:rPr>
            </w:pPr>
          </w:p>
        </w:tc>
      </w:tr>
      <w:tr>
        <w:trPr>
          <w:trHeight w:val="216"/>
        </w:trPr>
        <w:tc>
          <w:tcPr>
            <w:tcW w:w="4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Supurna VedBrat</w:t>
            </w:r>
            <w:r>
              <w:rPr>
                <w:rFonts w:ascii="Times New Roman" w:cs="Times New Roman" w:eastAsia="Times New Roman" w:hAnsi="Times New Roman"/>
                <w:sz w:val="24"/>
                <w:szCs w:val="24"/>
                <w:color w:val="auto"/>
                <w:vertAlign w:val="superscript"/>
              </w:rPr>
              <w:t>(1)</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27,534</w:t>
            </w:r>
          </w:p>
        </w:tc>
        <w:tc>
          <w:tcPr>
            <w:tcW w:w="100" w:type="dxa"/>
            <w:vAlign w:val="bottom"/>
          </w:tcPr>
          <w:p>
            <w:pPr>
              <w:spacing w:after="0"/>
              <w:rPr>
                <w:sz w:val="18"/>
                <w:szCs w:val="18"/>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27,534</w:t>
            </w:r>
          </w:p>
        </w:tc>
        <w:tc>
          <w:tcPr>
            <w:tcW w:w="0" w:type="dxa"/>
            <w:vAlign w:val="bottom"/>
          </w:tcPr>
          <w:p>
            <w:pPr>
              <w:spacing w:after="0"/>
              <w:rPr>
                <w:sz w:val="1"/>
                <w:szCs w:val="1"/>
                <w:color w:val="auto"/>
              </w:rPr>
            </w:pPr>
          </w:p>
        </w:tc>
      </w:tr>
      <w:tr>
        <w:trPr>
          <w:trHeight w:val="216"/>
        </w:trPr>
        <w:tc>
          <w:tcPr>
            <w:tcW w:w="4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Vivek Bunty Bohra</w:t>
            </w:r>
            <w:r>
              <w:rPr>
                <w:rFonts w:ascii="Times New Roman" w:cs="Times New Roman" w:eastAsia="Times New Roman" w:hAnsi="Times New Roman"/>
                <w:sz w:val="24"/>
                <w:szCs w:val="24"/>
                <w:color w:val="auto"/>
                <w:vertAlign w:val="superscript"/>
              </w:rPr>
              <w:t>(2)</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24,795</w:t>
            </w:r>
          </w:p>
        </w:tc>
        <w:tc>
          <w:tcPr>
            <w:tcW w:w="100" w:type="dxa"/>
            <w:vAlign w:val="bottom"/>
          </w:tcPr>
          <w:p>
            <w:pPr>
              <w:spacing w:after="0"/>
              <w:rPr>
                <w:sz w:val="18"/>
                <w:szCs w:val="18"/>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24,795</w:t>
            </w:r>
          </w:p>
        </w:tc>
        <w:tc>
          <w:tcPr>
            <w:tcW w:w="0" w:type="dxa"/>
            <w:vAlign w:val="bottom"/>
          </w:tcPr>
          <w:p>
            <w:pPr>
              <w:spacing w:after="0"/>
              <w:rPr>
                <w:sz w:val="1"/>
                <w:szCs w:val="1"/>
                <w:color w:val="auto"/>
              </w:rPr>
            </w:pPr>
          </w:p>
        </w:tc>
      </w:tr>
      <w:tr>
        <w:trPr>
          <w:trHeight w:val="216"/>
        </w:trPr>
        <w:tc>
          <w:tcPr>
            <w:tcW w:w="4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Frederick C. Herbst</w:t>
            </w:r>
            <w:r>
              <w:rPr>
                <w:rFonts w:ascii="Times New Roman" w:cs="Times New Roman" w:eastAsia="Times New Roman" w:hAnsi="Times New Roman"/>
                <w:sz w:val="24"/>
                <w:szCs w:val="24"/>
                <w:color w:val="auto"/>
                <w:vertAlign w:val="superscript"/>
              </w:rPr>
              <w:t>(3)</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22,431</w:t>
            </w:r>
          </w:p>
        </w:tc>
        <w:tc>
          <w:tcPr>
            <w:tcW w:w="100" w:type="dxa"/>
            <w:vAlign w:val="bottom"/>
          </w:tcPr>
          <w:p>
            <w:pPr>
              <w:spacing w:after="0"/>
              <w:rPr>
                <w:sz w:val="18"/>
                <w:szCs w:val="18"/>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22,431</w:t>
            </w:r>
          </w:p>
        </w:tc>
        <w:tc>
          <w:tcPr>
            <w:tcW w:w="0" w:type="dxa"/>
            <w:vAlign w:val="bottom"/>
          </w:tcPr>
          <w:p>
            <w:pPr>
              <w:spacing w:after="0"/>
              <w:rPr>
                <w:sz w:val="1"/>
                <w:szCs w:val="1"/>
                <w:color w:val="auto"/>
              </w:rPr>
            </w:pPr>
          </w:p>
        </w:tc>
      </w:tr>
      <w:tr>
        <w:trPr>
          <w:trHeight w:val="268"/>
        </w:trPr>
        <w:tc>
          <w:tcPr>
            <w:tcW w:w="49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Jason Papastarvrou</w:t>
            </w:r>
            <w:r>
              <w:rPr>
                <w:rFonts w:ascii="Times New Roman" w:cs="Times New Roman" w:eastAsia="Times New Roman" w:hAnsi="Times New Roman"/>
                <w:sz w:val="24"/>
                <w:szCs w:val="24"/>
                <w:color w:val="auto"/>
                <w:vertAlign w:val="superscript"/>
              </w:rPr>
              <w:t>(3)</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22,431</w:t>
            </w:r>
          </w:p>
        </w:tc>
        <w:tc>
          <w:tcPr>
            <w:tcW w:w="100" w:type="dxa"/>
            <w:vAlign w:val="bottom"/>
          </w:tcPr>
          <w:p>
            <w:pPr>
              <w:spacing w:after="0"/>
              <w:rPr>
                <w:sz w:val="23"/>
                <w:szCs w:val="23"/>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22,431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-685165</wp:posOffset>
            </wp:positionV>
            <wp:extent cx="617220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72200" cy="1371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-410845</wp:posOffset>
            </wp:positionV>
            <wp:extent cx="617220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72200" cy="1371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72200" cy="1371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85725</wp:posOffset>
            </wp:positionV>
            <wp:extent cx="8229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55" w:lineRule="exact"/>
        <w:rPr>
          <w:sz w:val="20"/>
          <w:szCs w:val="20"/>
          <w:color w:val="auto"/>
        </w:rPr>
      </w:pPr>
    </w:p>
    <w:p>
      <w:pPr>
        <w:ind w:left="440" w:hanging="436"/>
        <w:spacing w:after="0"/>
        <w:tabs>
          <w:tab w:leader="none" w:pos="4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McCauley and Ms. VedBrat became directors of the Company on March 13, 2025.</w:t>
      </w:r>
    </w:p>
    <w:p>
      <w:pPr>
        <w:spacing w:after="0" w:line="45" w:lineRule="exact"/>
        <w:rPr>
          <w:rFonts w:ascii="Times New Roman" w:cs="Times New Roman" w:eastAsia="Times New Roman" w:hAnsi="Times New Roman"/>
          <w:sz w:val="16"/>
          <w:szCs w:val="16"/>
          <w:color w:val="auto"/>
        </w:rPr>
      </w:pPr>
    </w:p>
    <w:p>
      <w:pPr>
        <w:ind w:left="440" w:hanging="436"/>
        <w:spacing w:after="0"/>
        <w:tabs>
          <w:tab w:leader="none" w:pos="4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Bohra's term as a director of the Company ended on June 25, 2025.</w:t>
      </w:r>
    </w:p>
    <w:p>
      <w:pPr>
        <w:spacing w:after="0" w:line="59" w:lineRule="exact"/>
        <w:rPr>
          <w:rFonts w:ascii="Times New Roman" w:cs="Times New Roman" w:eastAsia="Times New Roman" w:hAnsi="Times New Roman"/>
          <w:sz w:val="16"/>
          <w:szCs w:val="16"/>
          <w:color w:val="auto"/>
        </w:rPr>
      </w:pPr>
    </w:p>
    <w:p>
      <w:pPr>
        <w:ind w:left="440" w:hanging="436"/>
        <w:spacing w:after="0"/>
        <w:tabs>
          <w:tab w:leader="none" w:pos="4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Papastarvrou and Mr. Herbst resigned from their positions as directors of the Company on March 13, 2025.</w:t>
      </w:r>
    </w:p>
    <w:p>
      <w:pPr>
        <w:spacing w:after="0" w:line="59" w:lineRule="exact"/>
        <w:rPr>
          <w:rFonts w:ascii="Times New Roman" w:cs="Times New Roman" w:eastAsia="Times New Roman" w:hAnsi="Times New Roman"/>
          <w:sz w:val="16"/>
          <w:szCs w:val="16"/>
          <w:color w:val="auto"/>
        </w:rPr>
      </w:pPr>
    </w:p>
    <w:p>
      <w:pPr>
        <w:ind w:left="440" w:hanging="436"/>
        <w:spacing w:after="0"/>
        <w:tabs>
          <w:tab w:leader="none" w:pos="4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McCauley resigned from his position as a director of the Company on April 10, 2026.</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26" w:name="page27"/>
    <w:bookmarkEnd w:id="2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62"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We have entered into an Investment Advisory Agreement with the Adviser. The Adviser is controlled by Scott Gordon, its Partner and the Executive Chairperson of our Board and our Co-Chief Investment Officer, by John Mazarakis, a Partner of the Adviser, by Andreas Bodmeier, a Partner of the Adviser, and by Anthony Cappell, a Partner of the Adviser. In addition, Dino Colonna, our President, Umesh Mahajan, our Secretary and Co-Chief Investment Officer, and Peter Sack, our CEO, are Partners of the Adviser. Pursuant to the Investment Advisory Agreement, fees payable to the Adviser will be equal to (a) a base management fee of 1.75% of the value of our gross assets (i.e., total assets held before deduction of any liabilities), which includes investments acquired with the use of leverage and excludes cash and cash equivalents and (b) an incentive fee based on our performance. The incentive fee consists of two parts. The first part of the incentive fee, the Incentive Fee on Income, is calculated and payable quarterly in arrears and equals 20% of our “Pre-Incentive Fee Net Investment Income” for the quarter, subject to a preferred return, or “hurdle,” and a “catch-up” feature. The second part of the incentive fee, the Incentive Fee on Capital Gains, is determined and payable in arrears as of the end of each fiscal year (or upon termination of the Investment Advisory Agreement) and equals 20% of our realized capital gains on a cumulative basis from inception through the end of the fiscal year, if any, computed net of all realized capital losses and unrealized capital depreciation on a cumulative basis, less the aggregate amount of any previously paid Incentive Fees on Capital Gains.</w:t>
      </w:r>
    </w:p>
    <w:p>
      <w:pPr>
        <w:spacing w:after="0" w:line="106"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On October 1, 2024, the Company and the Adviser entered into an expense limitation agreement (the “Expense Limitation Agreement”) pursuant to which the Adviser agreed to cap the Company’s operating expenses (excluding base management fees, incentive fees, expenses related to the Loan Portfolio Acquisition, and litigation and indemnification expenses) at an annualized rate of 2.15% of the Company’s net assets through the period ending September 30, 2025. On February 14, 2025, the Board approved a clarification, as proposed by the Company and the Adviser, of the Expense Limitation Agreement, that any interest expense, fees, and other costs associated with raising debt and/or equity capital for the Company are not subject to, and do not count towards, the expense cap of 2.15% per annum under the Expense Limitation Agreement. The Expense Limitation Agreement expired in accordance with its terms on September 30, 2025 and was not renewed.</w:t>
      </w:r>
    </w:p>
    <w:p>
      <w:pPr>
        <w:spacing w:after="0" w:line="124"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We have entered into the Administration Agreement with the Adviser, under which the Adviser will provide administrative services for us, including office facilities and equipment and clerical, bookkeeping and record-keeping services at such facilities. Under the Administration Agreement, the Adviser also will perform, or oversee the performance of, our required administrative services, which includes being responsible for the financial records which we are required to maintain and preparing reports to our stockholders and reports filed with the SEC. In addition, the Adviser will assist us in determining and publishing our net asset value, overseeing the preparation and filing of our tax returns and the printing and dissemination of reports to our stockholders, and generally overseeing the payment of our expenses and the performance of administrative and professional services rendered to us by others. We reimburse the Adviser for the costs and expenses incurred by the Adviser in performing its obligations and providing personnel and facilities under the Administration Agreement (including costs and expenses incurred by the Adviser in connection with the delegation of its obligations under the Administration Agreement to a sub-administrator). We are generally not responsible for the compensation of the Adviser’s employees or any overhead expenses of the Adviser (including rent, office equipment and utilities). However, we may reimburse the Adviser for an allocable portion of the compensation paid by the Adviser (or its affiliates) to the CCO and the CFO and their respective staffs (based on a percentage of time such individuals devote, on an estimated basis, to our business affairs). The Adviser may also provide on our behalf managerial assistance to our portfolio companies. The Administration Agreement may be terminated by either party without penalty upon 60 days’ written notice to the other party.</w:t>
      </w:r>
    </w:p>
    <w:p>
      <w:pPr>
        <w:spacing w:after="0" w:line="12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We have entered into a license agreement with the Adviser, pursuant to which the Adviser has agreed to grant us a nonexclusive, royalty-free license to use the name “Chicago Atlantic.” Under this agreement, we will have a right to use the “Chicago Atlantic” name for so long as the Adviser or one of its affiliates remains our investment adviser. Other than with respect to this limited license, we will have no legal right to the “Chicago Atlantic” name.</w:t>
      </w:r>
    </w:p>
    <w:p>
      <w:pPr>
        <w:spacing w:after="0" w:line="9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Chicago Atlantic Admin, LLC and Chicago Atlantic Financial Services, LLC (the “Loan Administrators”), each serve as a loan administrator and collateral agent for certain loans within the Company’s investment portfolio. Among other customary responsibilities as described in each respective loan document, the Loan Administrators are responsible for: (a) the collection of interest, loan fees, and principal payments from portfolio companies, and (b) the subsequent disbursement of the allocable portion of such collections to the lender(s), including the Company. Each Loan Administrator is an affiliated entity under common control with Chicago Atlantic Group, LP, and accordingly is a related party of the Company.</w:t>
      </w:r>
    </w:p>
    <w:p>
      <w:pPr>
        <w:spacing w:after="0" w:line="120"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executive officers. The indemnification agreements are intended to provide our directors and executive officers with the maximum indemnification permitted under Maryland law and the 1940 Act. Each indemnification agreement provides that we will indemnify the director or executive officer who is a party to the agreement, including the advancement of legal expenses, if, by reason of his or her corporate status, such director or executive officer is, or is threatened to be, made a party to or a witness in any threatened, pending, or completed proceeding, to the maximum extent permitted by Maryland law and the 1940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27" w:name="page28"/>
    <w:bookmarkEnd w:id="27"/>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Our executive officers and directors, and certain members of the Adviser, serve or may serve as officers, directors or principals of entities that may operate in the same or a related line of business as us or as investment funds managed by our affiliates. For example, the Adviser and its affiliates manage private investment funds, a real estate investment trust, and may also manage other funds in the future that have investment mandates that are similar, in whole or in part, to our investment mandate. Accordingly, they may have obligations to investors in those entities, the fulfillment of which might not be in the best interests of us or our stockholders. For example, the principals of the Adviser may face conflicts of interest in the allocation of investment opportunities to us and such other funds. This conflict of interest could be amplified if our investment advisory fees are lower than those of such other funds.</w:t>
      </w:r>
    </w:p>
    <w:p>
      <w:pPr>
        <w:spacing w:after="0" w:line="108"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In order to address potential conflicts of interest, the Adviser and its affiliates have adopted an investment allocation policy that governs the allocation of investment opportunities among the investment funds and other accounts managed by the Adviser and its affiliates. To the extent an investment opportunity is appropriate for either or both of the Company and/or any other investment fund or other account managed by the Adviser or its affiliates, and co-investment is not possible, the Adviser and its affiliates will adhere to their investment allocation policy in order to determine to which account to allocate the opportunity.</w:t>
      </w:r>
    </w:p>
    <w:p>
      <w:pPr>
        <w:spacing w:after="0" w:line="116"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We, the Adviser and certain of our affiliates have been granted an order for exemptive relief (the “Order”) by the SEC to co-invest with other funds managed by the Adviser or its affiliates in a manner consistent with our investment objective, positions, policies, strategies and restrictions as well as regulatory requirements and other pertinent factors. Pursuant to the Order, we generally are permitted to co-invest with certain of our affiliates if a “required majority” (as defined in Section 57(o) of the 1940 Act) of our Independent Directors make certain conclusions in connection with a co-investment transaction, including that (1) the terms of the transaction, including the consideration to be paid, are reasonable and fair to us and our stockholders and do not involve overreaching by us or our stockholders on the part of any person concerned, (2) the transaction is consistent with the interests of our stockholders and is consistent with our investment objective and strategies, (3) the investment by our affiliates would not disadvantage us, and our participation would not be on a basis different from or less advantageous than that on which our affiliates are investing and (4) the proposed investment by us would not benefit the Adviser or its affiliates or any affiliated person of any of them (other than the parties to the transaction), except to the extent permitted by the Order and applicable law, including the limitations set forth in Section 57(k) of the 1940 Act.</w:t>
      </w:r>
    </w:p>
    <w:p>
      <w:pPr>
        <w:spacing w:after="0" w:line="12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If the Company is unable to rely on the exemptive relief for a particular opportunity, such opportunity will be allocated in accordance with the investment allocation policy. Although the Adviser and its affiliates will endeavor to allocate investment opportunities in a fair and equitable manner, we and our stockholders could be adversely affected to the extent investment opportunities are allocated among us and other investment vehicles managed by the Adviser or its affiliates.</w:t>
      </w:r>
    </w:p>
    <w:p>
      <w:pPr>
        <w:spacing w:after="0" w:line="9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investment allocation policy is also designed to manage and mitigate the conflicts of interest associated with the allocation of investment opportunities if we are able to co-invest, either pursuant to SEC interpretive positions or our exemptive order, with other accounts managed by the Adviser or its affiliates. Generally, under the investment allocation policy, co-investments will be allocated pursuant to the conditions of the exemptive order. Under the investment allocation policy, a portion of each opportunity that is appropriate for us and any affiliated fund or other account, which may vary based on asset class and liquidity, among other factors, will generally be offered to us and such other eligible accounts, as determined by the Adviser and its affiliates.</w:t>
      </w:r>
    </w:p>
    <w:p>
      <w:pPr>
        <w:spacing w:after="0" w:line="12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If there is a sufficient amount of securities to satisfy all participants, each order will be fulfilled as placed. If there is an insufficient amount of securities to satisfy all participants, the securities will generally be allocated pro rata based on each participant’s order size or available capital.</w:t>
      </w:r>
    </w:p>
    <w:p>
      <w:pPr>
        <w:spacing w:after="0" w:line="108"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In accordance with the investment allocation policy, the Company might not participate in each individual opportunity, but will, on an overall basis, be entitled to participate equitably with other accounts managed by the Adviser and its affiliates. The Adviser and its affiliates seek to treat all clients fairly and equitably in a manner consistent with their fiduciary duty to each of them; however, in some instances, especially in instances of limited liquidity, the factors may not result in pro rata allocations or may result in situations where certain accounts receive allocations where others do not.</w:t>
      </w:r>
    </w:p>
    <w:p>
      <w:pPr>
        <w:spacing w:after="0" w:line="10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We have adopted a formal code of ethics that governs the conduct of our officers and directors. Our officers and directors also remain subject to the duties imposed by both the 1940 Act and the Maryland General Corporation Law.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of Transactions with Related Persons</w:t>
      </w:r>
    </w:p>
    <w:p>
      <w:pPr>
        <w:spacing w:after="0" w:line="16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Audit Committee is required to review any transactions with related persons (as such term is defined in Item 404 of Regulation S-K).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34" w:right="1099" w:bottom="1440" w:gutter="0" w:footer="0" w:header="0"/>
        </w:sectPr>
      </w:pPr>
    </w:p>
    <w:bookmarkStart w:id="28" w:name="page29"/>
    <w:bookmarkEnd w:id="28"/>
    <w:p>
      <w:pPr>
        <w:ind w:left="160"/>
        <w:spacing w:after="0"/>
        <w:rPr>
          <w:sz w:val="20"/>
          <w:szCs w:val="20"/>
          <w:color w:val="auto"/>
        </w:rPr>
      </w:pPr>
      <w:r>
        <w:rPr>
          <w:rFonts w:ascii="Times New Roman" w:cs="Times New Roman" w:eastAsia="Times New Roman" w:hAnsi="Times New Roman"/>
          <w:sz w:val="18"/>
          <w:szCs w:val="18"/>
          <w:b w:val="1"/>
          <w:bCs w:val="1"/>
          <w:color w:val="auto"/>
        </w:rPr>
        <w:t>PROPOSAL 2: RATIFICATION OF SELECTION OF INDEPENDENT REGISTERED PUBLIC ACCOUNTING FIRM</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BDO USA, P.C., New York, New York, has been appointed by the Board, including a majority of the Independent Directors, to serve as the Company’s independent registered public accounting firm for the fiscal year ending December 31, 2026. This selection is presented for ratification by the stockholders.</w:t>
      </w:r>
    </w:p>
    <w:p>
      <w:pPr>
        <w:spacing w:after="0" w:line="108"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BDO USA, P.C. acted as the Company’s independent registered public accounting firm for the fiscal years ended December 31, 2025, December 31, 2024, December 31, 2023, December 31, 2022, March 31, 2022 and March 31, 2021. The Company knows of no direct financial or material indirect financial interest of BDO USA, P.C. in the Company. A representative of BDO USA, P.C. will be available to answer questions during the Annual Meeting and will have an opportunity to make a statement if he or she desires to do 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w:t>
      </w:r>
    </w:p>
    <w:p>
      <w:pPr>
        <w:spacing w:after="0" w:line="14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Set forth in the table below are audit fees, audit-related fees, tax fees and all other fees billed to the Company by BDO USA, P.C. for professional services performed for the fiscal years ended December 31, 2025 and December 31, 2024:</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For the fiscal year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fiscal year</w:t>
            </w:r>
          </w:p>
        </w:tc>
      </w:tr>
      <w:tr>
        <w:trPr>
          <w:trHeight w:val="148"/>
        </w:trPr>
        <w:tc>
          <w:tcPr>
            <w:tcW w:w="40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 31,</w:t>
            </w:r>
          </w:p>
        </w:tc>
        <w:tc>
          <w:tcPr>
            <w:tcW w:w="240" w:type="dxa"/>
            <w:vAlign w:val="bottom"/>
          </w:tcPr>
          <w:p>
            <w:pPr>
              <w:spacing w:after="0"/>
              <w:rPr>
                <w:sz w:val="12"/>
                <w:szCs w:val="12"/>
                <w:color w:val="auto"/>
              </w:rPr>
            </w:pPr>
          </w:p>
        </w:tc>
        <w:tc>
          <w:tcPr>
            <w:tcW w:w="14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 31,</w:t>
            </w:r>
          </w:p>
        </w:tc>
      </w:tr>
      <w:tr>
        <w:trPr>
          <w:trHeight w:val="173"/>
        </w:trPr>
        <w:tc>
          <w:tcPr>
            <w:tcW w:w="40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w:t>
            </w:r>
          </w:p>
        </w:tc>
        <w:tc>
          <w:tcPr>
            <w:tcW w:w="2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603,000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890,000</w:t>
            </w:r>
          </w:p>
        </w:tc>
        <w:tc>
          <w:tcPr>
            <w:tcW w:w="100" w:type="dxa"/>
            <w:vAlign w:val="bottom"/>
            <w:shd w:val="clear" w:color="auto" w:fill="CFF0FC"/>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2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2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603,000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890,000</w:t>
            </w:r>
          </w:p>
        </w:tc>
        <w:tc>
          <w:tcPr>
            <w:tcW w:w="100" w:type="dxa"/>
            <w:vAlign w:val="bottom"/>
            <w:shd w:val="clear" w:color="auto" w:fill="CFF0FC"/>
          </w:tcPr>
          <w:p>
            <w:pPr>
              <w:spacing w:after="0"/>
              <w:rPr>
                <w:sz w:val="18"/>
                <w:szCs w:val="18"/>
                <w:color w:val="auto"/>
              </w:rPr>
            </w:pPr>
          </w:p>
        </w:tc>
      </w:tr>
    </w:tbl>
    <w:p>
      <w:pPr>
        <w:spacing w:after="0" w:line="14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Audit fees and related expenses consist of fees billed and expected to be billed for professional services rendered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audit and review of the Company’s annual and quarterly financial statements, respectively, and services that are normally provided by the independent registered public accounting firm in connection with statutory and regulatory filings (e.g., comfort letters, consents, and assistance with and review of documents filed with the SEC).</w:t>
      </w:r>
    </w:p>
    <w:p>
      <w:pPr>
        <w:spacing w:after="0" w:line="11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Audit-related services consist of fees billed for assurance and related services that are reasonably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performance of the audit or review of the Company’s financial statements and are not reported under “</w:t>
      </w: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 These services include attest services that are not required by statute or regulation and consultations concerning financial accounting and reporting standards.</w:t>
      </w:r>
    </w:p>
    <w:p>
      <w:pPr>
        <w:spacing w:after="0" w:line="99" w:lineRule="exact"/>
        <w:rPr>
          <w:sz w:val="20"/>
          <w:szCs w:val="20"/>
          <w:color w:val="auto"/>
        </w:rPr>
      </w:pPr>
    </w:p>
    <w:p>
      <w:pPr>
        <w:jc w:val="both"/>
        <w:ind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Tax fees consist of fees billed for professional services for tax compliance. These services include assistance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federal, state and local tax compliance.</w:t>
      </w:r>
    </w:p>
    <w:p>
      <w:pPr>
        <w:spacing w:after="0" w:line="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All other fees include fees for products and services other than the services reported above.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6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Audit Committee has established a pre-approval policy that describes the permitted audit, audit-related, tax and other services to be provided by BDO USA, P.C., the Company’s independent registered public accounting firm. The policy requires that the Audit Committee pre-approve the audit and non-audit services performed by the independent auditor in order to assure that the provision of such service does not impair the auditor’s independence.</w:t>
      </w:r>
    </w:p>
    <w:p>
      <w:pPr>
        <w:spacing w:after="0" w:line="9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must report any pre-approval decisions to the Audit Committee at its next scheduled meeting. The Audit Committee does not delegate its responsibilities to pre-approve services performed by the independent registered public accounting firm to management.</w:t>
      </w:r>
    </w:p>
    <w:p>
      <w:pPr>
        <w:spacing w:after="0" w:line="120"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 xml:space="preserve">A stockholder can vote “for” or “against”, or abstain from voting on the ratification of the selection of BDO USA, P.C. as the Company’s independent registered public accounting firm for the fiscal year ending December 31, 2026. </w:t>
      </w:r>
      <w:r>
        <w:rPr>
          <w:rFonts w:ascii="Times New Roman" w:cs="Times New Roman" w:eastAsia="Times New Roman" w:hAnsi="Times New Roman"/>
          <w:sz w:val="18"/>
          <w:szCs w:val="18"/>
          <w:b w:val="1"/>
          <w:bCs w:val="1"/>
          <w:color w:val="auto"/>
        </w:rPr>
        <w:t>In the absence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instructions to the contrary, it is the intention of the persons named as proxies to vote such proxy FOR the ratification of the selection of BDO USA, P.C. as the Company’s independent registered public accounting firm for the fiscal year ending December 31, 2026.</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62"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affirmative vote of a majority of the votes cast at the Annual Meeting in person (virtually) or by proxy is required to ratify the selection of BDO USA, P.C. as the Company’s independent registered public accounting firm for the fiscal year ending December 31, 2026. Abstentions, if any, will count as Shares represented at the meeting for purpose of establishing a quorum, but will have no effect on the outcome of the vote. Brokers have discretionary authority to vote on the proposal without receiving voting instructions from the beneficial owner of broker securities; therefore, no broker non-votes are expected in connection with the proposal.</w:t>
      </w:r>
    </w:p>
    <w:p>
      <w:pPr>
        <w:spacing w:after="0" w:line="287"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THE BOARD UNANIMOUSLY RECOMMENDS THAT YOU VOTE “FOR” THE RATIFICATION OF THE SELECTION OF BDO USA, P.C. AS THE COMPANY’S INDEPENDENT REGISTERED PUBLIC ACCOUNTING FIRM FOR THE FISCAL YEAR ENDING DECEMBER 31, 2026</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97" w:right="1099" w:bottom="1440" w:gutter="0" w:footer="0" w:header="0"/>
        </w:sectPr>
      </w:pPr>
    </w:p>
    <w:bookmarkStart w:id="30" w:name="page31"/>
    <w:bookmarkEnd w:id="3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21"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As part of its oversight of the Company’s financial statements, the Audit Committee reviewed and discussed with both management and BDO USA, P.C., the Company’s independent registered public accounting firm, the Company’s financial statements as of and for the fiscal year ended December 31, 2025, as filed with the SEC as part of the Company’s annual report on Form 10-K for the fiscal year ended December 31, 2025. Management advised the Audit Committee that all financial statements were prepared in accordance with U.S. generally accepted accounting principles, and reviewed significant accounting issues with the Audit Committee. The Audit Committee also discussed with BDO USA, P.C. the matters required to be discussed by Public Company Accounting Oversight Board (“PCAOB”) Auditing Standard No. 1301,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 as amended.</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Audit Committee has established a pre-approval policy that describes the permitted audit, audit-related, tax and other services to be provided by BDO USA, P.C. Pursuant to the policy, the Audit Committee pre-approves the audit and non-audit services performed by BDO USA, P.C. in order to assure that the provision of such services does not impair the firm’s independence.</w:t>
      </w:r>
    </w:p>
    <w:p>
      <w:pPr>
        <w:spacing w:after="0" w:line="95"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Any requests for audit, audit-related, tax and other services that have not received general pre-approval must be submitted to the Audit Committee for specific pre-approval in accordance with its pre-approval policy, irrespective of the amount,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must report any pre-approval decisions to the Audit Committee at its next scheduled meeting. The Audit Committee does not delegate its responsibilities to pre-approve services performed by BDO USA, P.C. to management.</w:t>
      </w:r>
    </w:p>
    <w:p>
      <w:pPr>
        <w:spacing w:after="0" w:line="12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 xml:space="preserve">The Audit Committee received and reviewed the written disclosures and the letter from BDO USA, P.C. required by applicable requirements of PCAOB Ethics and Independence Rule 3526, </w:t>
      </w:r>
      <w:r>
        <w:rPr>
          <w:rFonts w:ascii="Times New Roman" w:cs="Times New Roman" w:eastAsia="Times New Roman" w:hAnsi="Times New Roman"/>
          <w:sz w:val="18"/>
          <w:szCs w:val="18"/>
          <w:i w:val="1"/>
          <w:iCs w:val="1"/>
          <w:color w:val="auto"/>
        </w:rPr>
        <w:t>Communication with Audit Committees Concerning Independence</w:t>
      </w:r>
      <w:r>
        <w:rPr>
          <w:rFonts w:ascii="Times New Roman" w:cs="Times New Roman" w:eastAsia="Times New Roman" w:hAnsi="Times New Roman"/>
          <w:sz w:val="18"/>
          <w:szCs w:val="18"/>
          <w:color w:val="auto"/>
        </w:rPr>
        <w:t>, regarding BDO USA, P.C.’s communications with the Audit Committee concerning independence, and has discussed with BDO USA, P.C. its independence. The Audit Committee has reviewed the audit fees paid by the Company to BDO USA, P.C.</w:t>
      </w:r>
    </w:p>
    <w:p>
      <w:pPr>
        <w:spacing w:after="0" w:line="112"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that the audited financial statements of the Company as of and for the fiscal year ended December 31, 2025 be included in the Company’s annual report on Form 10-K for the fiscal year ended December 31, 2025 for filing with the SEC. The Audit Committee also recommended the appointment of BDO USA, P.C. to serve as the independent registered public accounting firm of the Company for the fiscal year ending December 31,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Members:</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Americo Da Corte, Chairman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Michael W. Chorske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Supurna VedBrat</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Tracey Brophy Warson</w:t>
      </w:r>
    </w:p>
    <w:p>
      <w:pPr>
        <w:spacing w:after="0" w:line="97" w:lineRule="exact"/>
        <w:rPr>
          <w:sz w:val="20"/>
          <w:szCs w:val="20"/>
          <w:color w:val="auto"/>
        </w:rPr>
      </w:pPr>
    </w:p>
    <w:p>
      <w:pPr>
        <w:jc w:val="both"/>
        <w:ind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Audit Committee report is not “soliciting material,” is not deemed “filed” with the SEC, and is not to be incorporated by reference into any filing of the Company under the Securities Act or the Exchange Act, whether made before or after the date hereof and irrespective of any general incorporation language in any such filing.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31" w:name="page32"/>
    <w:bookmarkEnd w:id="3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OTHER MATTERS TO COME BEFORE THE ANNUAL MEETING</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Board is not aware of any matters that will be presented for action at the Annual Meeting other than the matters set forth herein. Should any other matters requiring a vote of stockholders arise, it is intended that the proxies that do not contain specific instructions to the contrary will be voted in accordance with the judgment of the persons named in the enclosed form of proxy.</w:t>
      </w:r>
    </w:p>
    <w:p>
      <w:pPr>
        <w:spacing w:after="0" w:line="280" w:lineRule="exact"/>
        <w:rPr>
          <w:sz w:val="20"/>
          <w:szCs w:val="20"/>
          <w:color w:val="auto"/>
        </w:rPr>
      </w:pPr>
    </w:p>
    <w:p>
      <w:pPr>
        <w:ind w:right="2880" w:firstLine="2835"/>
        <w:spacing w:after="0" w:line="425" w:lineRule="auto"/>
        <w:rPr>
          <w:sz w:val="20"/>
          <w:szCs w:val="20"/>
          <w:color w:val="auto"/>
        </w:rPr>
      </w:pPr>
      <w:r>
        <w:rPr>
          <w:rFonts w:ascii="Times New Roman" w:cs="Times New Roman" w:eastAsia="Times New Roman" w:hAnsi="Times New Roman"/>
          <w:sz w:val="17"/>
          <w:szCs w:val="17"/>
          <w:b w:val="1"/>
          <w:bCs w:val="1"/>
          <w:color w:val="auto"/>
        </w:rPr>
        <w:t>SUBMISSION OF STOCKHOLDER PROPOSALS Inclusion of Proposals in Our Proxy Statement and Proxy Card Under the SEC’s Rules</w:t>
      </w: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Any proposal of a stockholder intended to be included in our proxy statement and form of proxy/voting instruction card for the 2027 annual meeting of stockholders pursuant to Rule 14a-8 of the SEC’s rules must be received by us on or before December 31, 2026. Such proposals must also comply with the requirements as to form and substance established by the SEC if such proposals are to be included in the proxy statement and form of proxy. All proposals should be addressed to Umesh Mahajan, Corporate Secretary, Chicago Atlantic BDC, Inc., 600 Madison Avenue, Suite 1800, New York, New York 10022.</w:t>
      </w:r>
    </w:p>
    <w:p>
      <w:pPr>
        <w:spacing w:after="0" w:line="102"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Stockholder proposals or director nominations to be presented at the 2027 annual meeting of stockholders,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w:t>
      </w:r>
    </w:p>
    <w:p>
      <w:pPr>
        <w:spacing w:after="0" w:line="116" w:lineRule="exact"/>
        <w:rPr>
          <w:sz w:val="20"/>
          <w:szCs w:val="20"/>
          <w:color w:val="auto"/>
        </w:rPr>
      </w:pPr>
    </w:p>
    <w:p>
      <w:pPr>
        <w:jc w:val="both"/>
        <w:ind w:firstLine="441"/>
        <w:spacing w:after="0" w:line="223" w:lineRule="auto"/>
        <w:rPr>
          <w:sz w:val="20"/>
          <w:szCs w:val="20"/>
          <w:color w:val="auto"/>
        </w:rPr>
      </w:pPr>
      <w:r>
        <w:rPr>
          <w:rFonts w:ascii="Times New Roman" w:cs="Times New Roman" w:eastAsia="Times New Roman" w:hAnsi="Times New Roman"/>
          <w:sz w:val="18"/>
          <w:szCs w:val="18"/>
          <w:color w:val="auto"/>
        </w:rPr>
        <w:t>Our bylaws require that the proposal or recommendation for director nominations must be delivered to, or mailed and received at, the principal executive offices of the Company not earlier than December 1, 2026, the 150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prior to the one year anniversary of the date of the Company’s proxy statement for the preceding year’s annual meeting, and not later than December 31, 2026, the 120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prior to the first anniversary of the date of the proxy statement for the preceding year’s annual meeting. If the date of the annual meeting has changed by more than 30 days from the first anniversary of the date of the preceding year’s annual meeting, stockholder proposals or director nominations must be so received no earlier than the 150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prior to the date of such annual meeting and not later than the later of the 120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prior to the date of such annual meeting or the tenth day following the day on which public announcement of the date of such meeting is first made.</w:t>
      </w: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21"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Mailings for multiple stockholders going to a single household are combined by delivering to that address, in a single envelope, a copy of the documents (prospectuses, proxy statements, etc.) or other communications for all stockholders who have consented or are deemed to have consented to receiving such communications in such manner in accordance with the rules promulgated by the SEC. If you do not want to continue to receive combined mailings of Company communications and would prefer to receive separate mailings of Company communications, please contact us by telephone at (312) 625-9295 or by mail at Chicago Atlantic BDC, Inc., 600 Madison Avenue, Suite 1800, New York, New York 10022, Attention: Corporate Secretary.</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 xml:space="preserve">Copies of the Company’s Annual Reports on Form 10-K, Quarterly Reports on Form 10-Q and Current Reports on Form 8-K are available at the Company’s website </w:t>
      </w:r>
      <w:r>
        <w:rPr>
          <w:rFonts w:ascii="Times New Roman" w:cs="Times New Roman" w:eastAsia="Times New Roman" w:hAnsi="Times New Roman"/>
          <w:sz w:val="18"/>
          <w:szCs w:val="18"/>
          <w:i w:val="1"/>
          <w:iCs w:val="1"/>
          <w:color w:val="auto"/>
        </w:rPr>
        <w:t>(https://investors.chicagoatlanticbdc.com/financial-information/sec-filings)</w:t>
      </w:r>
      <w:r>
        <w:rPr>
          <w:rFonts w:ascii="Times New Roman" w:cs="Times New Roman" w:eastAsia="Times New Roman" w:hAnsi="Times New Roman"/>
          <w:sz w:val="18"/>
          <w:szCs w:val="18"/>
          <w:color w:val="auto"/>
        </w:rPr>
        <w:t xml:space="preserve"> or without charge, upon request. Please contact us by telephone at (312) 625-9295 or mail your request to Chicago Atlantic BDC, Inc., 600 Madison Avenue, Suite 1800, New York, New York 10022, Attention: Corporate Secretary.</w:t>
      </w:r>
    </w:p>
    <w:p>
      <w:pPr>
        <w:spacing w:after="0" w:line="176" w:lineRule="exact"/>
        <w:rPr>
          <w:sz w:val="20"/>
          <w:szCs w:val="20"/>
          <w:color w:val="auto"/>
        </w:rPr>
      </w:pPr>
    </w:p>
    <w:p>
      <w:pPr>
        <w:ind w:right="40" w:firstLine="441"/>
        <w:spacing w:after="0" w:line="259" w:lineRule="auto"/>
        <w:rPr>
          <w:sz w:val="20"/>
          <w:szCs w:val="20"/>
          <w:color w:val="auto"/>
        </w:rPr>
      </w:pPr>
      <w:r>
        <w:rPr>
          <w:rFonts w:ascii="Times New Roman" w:cs="Times New Roman" w:eastAsia="Times New Roman" w:hAnsi="Times New Roman"/>
          <w:sz w:val="18"/>
          <w:szCs w:val="18"/>
          <w:b w:val="1"/>
          <w:bCs w:val="1"/>
          <w:color w:val="auto"/>
        </w:rPr>
        <w:t>PLEASE VOTE PROMPTLY BY FOLLOWING THE INSTRUCTIONS PRINTED ON THE PROXY CARD OR THE NOTICE OF INTERNET AVAILABILITY OF PROXY MATERIALS, WHICH PROVIDE INSTRUCTIONS FOR AUTHORIZING A PROXY BY TELEPHONE OR THROUGH THE INTERNET, OR BY SIGNING AND DATING THE ENCLOSED PROXY CARD AND RETURNING IT IN THE ACCOMPANYING POSTAGE PAID RETURN ENVELOPE. NO POSTAGE IS REQUIRED IF MAILED IN THE UNITED STATES.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637540</wp:posOffset>
            </wp:positionV>
            <wp:extent cx="7037705" cy="86283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37705" cy="862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637540</wp:posOffset>
            </wp:positionV>
            <wp:extent cx="7037705" cy="86277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37705" cy="8627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1284605</wp:posOffset>
            </wp:positionV>
            <wp:extent cx="703770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lowerRoman"/>
      <w:start w:val="1"/>
    </w:lvl>
    <w:lvl w:ilvl="1">
      <w:lvlJc w:val="left"/>
      <w:lvlText w:val="%2."/>
      <w:numFmt w:val="lowerLetter"/>
      <w:start w:val="1"/>
    </w:lvl>
  </w:abstractNum>
  <w:abstractNum w:abstractNumId="6">
    <w:nsid w:val="25E45D32"/>
    <w:multiLevelType w:val="hybridMultilevel"/>
    <w:lvl w:ilvl="0">
      <w:lvlJc w:val="left"/>
      <w:lvlText w:val="%1."/>
      <w:numFmt w:val="decimal"/>
      <w:start w:val="1"/>
    </w:lvl>
    <w:lvl w:ilvl="1">
      <w:lvlJc w:val="left"/>
      <w:lvlText w:val="%2."/>
      <w:numFmt w:val="lowerLetter"/>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decimal"/>
      <w:start w:val="1"/>
    </w:lvl>
    <w:lvl w:ilvl="1">
      <w:lvlJc w:val="left"/>
      <w:lvlText w:val="%2."/>
      <w:numFmt w:val="lowerLetter"/>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1"/>
    </w:lvl>
    <w:lvl w:ilvl="1">
      <w:lvlJc w:val="left"/>
      <w:lvlText w:val="%2."/>
      <w:numFmt w:val="lowerLetter"/>
      <w:start w:val="1"/>
    </w:lvl>
  </w:abstractNum>
  <w:abstractNum w:abstractNumId="12">
    <w:nsid w:val="62BBD95A"/>
    <w:multiLevelType w:val="hybridMultilevel"/>
    <w:lvl w:ilvl="0">
      <w:lvlJc w:val="left"/>
      <w:lvlText w:val="(%1)"/>
      <w:numFmt w:val="lowerLetter"/>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lowerLetter"/>
      <w:start w:val="2"/>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3"/>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lowerRoman"/>
      <w:start w:val="4"/>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2026-04-30T05:09:06Z</dcterms:created>
  <dcterms:modified xsi:type="dcterms:W3CDTF">2026-04-30T05:09:06Z</dcterms:modified>
</cp:coreProperties>
</file>