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November 13, 2025</w:t>
      </w:r>
    </w:p>
    <w:p>
      <w:pPr>
        <w:spacing w:after="0" w:line="17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Chicago Atlantic BDC, Inc.</w:t>
      </w:r>
    </w:p>
    <w:p>
      <w:pPr>
        <w:spacing w:after="0" w:line="3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3580" w:type="dxa"/>
            <w:vAlign w:val="bottom"/>
          </w:tcPr>
          <w:p>
            <w:pPr>
              <w:jc w:val="right"/>
              <w:ind w:right="1360"/>
              <w:spacing w:after="0"/>
              <w:rPr>
                <w:sz w:val="20"/>
                <w:szCs w:val="20"/>
                <w:color w:val="auto"/>
              </w:rPr>
            </w:pPr>
            <w:r>
              <w:rPr>
                <w:rFonts w:ascii="Times New Roman" w:cs="Times New Roman" w:eastAsia="Times New Roman" w:hAnsi="Times New Roman"/>
                <w:sz w:val="16"/>
                <w:szCs w:val="16"/>
                <w:b w:val="1"/>
                <w:bCs w:val="1"/>
                <w:color w:val="auto"/>
              </w:rPr>
              <w:t>001-40564</w:t>
            </w:r>
          </w:p>
        </w:tc>
        <w:tc>
          <w:tcPr>
            <w:tcW w:w="120" w:type="dxa"/>
            <w:vAlign w:val="bottom"/>
          </w:tcPr>
          <w:p>
            <w:pPr>
              <w:spacing w:after="0"/>
              <w:rPr>
                <w:sz w:val="18"/>
                <w:szCs w:val="18"/>
                <w:color w:val="auto"/>
              </w:rPr>
            </w:pPr>
          </w:p>
        </w:tc>
        <w:tc>
          <w:tcPr>
            <w:tcW w:w="3600" w:type="dxa"/>
            <w:vAlign w:val="bottom"/>
          </w:tcPr>
          <w:p>
            <w:pPr>
              <w:jc w:val="right"/>
              <w:ind w:right="1340"/>
              <w:spacing w:after="0"/>
              <w:rPr>
                <w:sz w:val="20"/>
                <w:szCs w:val="20"/>
                <w:color w:val="auto"/>
              </w:rPr>
            </w:pPr>
            <w:r>
              <w:rPr>
                <w:rFonts w:ascii="Times New Roman" w:cs="Times New Roman" w:eastAsia="Times New Roman" w:hAnsi="Times New Roman"/>
                <w:sz w:val="16"/>
                <w:szCs w:val="16"/>
                <w:b w:val="1"/>
                <w:bCs w:val="1"/>
                <w:color w:val="auto"/>
              </w:rPr>
              <w:t>86-2872887</w:t>
            </w:r>
          </w:p>
        </w:tc>
      </w:tr>
      <w:tr>
        <w:trPr>
          <w:trHeight w:val="173"/>
        </w:trPr>
        <w:tc>
          <w:tcPr>
            <w:tcW w:w="384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120" w:type="dxa"/>
            <w:vAlign w:val="bottom"/>
          </w:tcPr>
          <w:p>
            <w:pPr>
              <w:spacing w:after="0"/>
              <w:rPr>
                <w:sz w:val="15"/>
                <w:szCs w:val="15"/>
                <w:color w:val="auto"/>
              </w:rPr>
            </w:pPr>
          </w:p>
        </w:tc>
        <w:tc>
          <w:tcPr>
            <w:tcW w:w="358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rPr>
              <w:t>(Commission File Number)</w:t>
            </w:r>
          </w:p>
        </w:tc>
        <w:tc>
          <w:tcPr>
            <w:tcW w:w="1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of Incorporation)</w:t>
            </w: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386"/>
        </w:trPr>
        <w:tc>
          <w:tcPr>
            <w:tcW w:w="76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600 Madison Avenue, Suite 1800 New York, New York</w:t>
            </w:r>
          </w:p>
        </w:tc>
        <w:tc>
          <w:tcPr>
            <w:tcW w:w="3600" w:type="dxa"/>
            <w:vAlign w:val="bottom"/>
          </w:tcPr>
          <w:p>
            <w:pPr>
              <w:jc w:val="right"/>
              <w:ind w:right="1520"/>
              <w:spacing w:after="0"/>
              <w:rPr>
                <w:sz w:val="20"/>
                <w:szCs w:val="20"/>
                <w:color w:val="auto"/>
              </w:rPr>
            </w:pPr>
            <w:r>
              <w:rPr>
                <w:rFonts w:ascii="Times New Roman" w:cs="Times New Roman" w:eastAsia="Times New Roman" w:hAnsi="Times New Roman"/>
                <w:sz w:val="16"/>
                <w:szCs w:val="16"/>
                <w:b w:val="1"/>
                <w:bCs w:val="1"/>
                <w:color w:val="auto"/>
              </w:rPr>
              <w:t>10022</w:t>
            </w:r>
          </w:p>
        </w:tc>
      </w:tr>
      <w:tr>
        <w:trPr>
          <w:trHeight w:val="210"/>
        </w:trPr>
        <w:tc>
          <w:tcPr>
            <w:tcW w:w="75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120" w:type="dxa"/>
            <w:vAlign w:val="bottom"/>
          </w:tcPr>
          <w:p>
            <w:pPr>
              <w:spacing w:after="0"/>
              <w:rPr>
                <w:sz w:val="18"/>
                <w:szCs w:val="18"/>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212 905-4923</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 w:lineRule="exact"/>
        <w:rPr>
          <w:sz w:val="24"/>
          <w:szCs w:val="24"/>
          <w:color w:val="auto"/>
        </w:rPr>
      </w:pPr>
    </w:p>
    <w:p>
      <w:pPr>
        <w:ind w:left="324" w:hanging="324"/>
        <w:spacing w:after="0"/>
        <w:tabs>
          <w:tab w:leader="none" w:pos="3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86" w:lineRule="exact"/>
        <w:rPr>
          <w:rFonts w:ascii="MS PGothic" w:cs="MS PGothic" w:eastAsia="MS PGothic" w:hAnsi="MS PGothic"/>
          <w:sz w:val="16"/>
          <w:szCs w:val="16"/>
          <w:color w:val="auto"/>
        </w:rPr>
      </w:pPr>
    </w:p>
    <w:p>
      <w:pPr>
        <w:ind w:left="324" w:hanging="324"/>
        <w:spacing w:after="0"/>
        <w:tabs>
          <w:tab w:leader="none" w:pos="3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324" w:hanging="324"/>
        <w:spacing w:after="0"/>
        <w:tabs>
          <w:tab w:leader="none" w:pos="3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324" w:hanging="324"/>
        <w:spacing w:after="0"/>
        <w:tabs>
          <w:tab w:leader="none" w:pos="3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5" w:lineRule="exact"/>
        <w:rPr>
          <w:rFonts w:ascii="MS PGothic" w:cs="MS PGothic" w:eastAsia="MS PGothic" w:hAnsi="MS PGothic"/>
          <w:sz w:val="16"/>
          <w:szCs w:val="16"/>
          <w:color w:val="auto"/>
        </w:rPr>
      </w:pPr>
    </w:p>
    <w:p>
      <w:pPr>
        <w:ind w:left="3684"/>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registered pursuant to Section 12(b) of the Act:</w:t>
      </w:r>
    </w:p>
    <w:tbl>
      <w:tblPr>
        <w:tblLayout w:type="fixed"/>
        <w:tblInd w:w="4" w:type="dxa"/>
        <w:tblCellMar>
          <w:top w:w="0" w:type="dxa"/>
          <w:left w:w="0" w:type="dxa"/>
          <w:bottom w:w="0" w:type="dxa"/>
          <w:right w:w="0" w:type="dxa"/>
        </w:tblCellMar>
      </w:tblPr>
      <w:tr>
        <w:trPr>
          <w:trHeight w:val="178"/>
        </w:trPr>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center"/>
              <w:ind w:right="120"/>
              <w:spacing w:after="0" w:line="178" w:lineRule="exact"/>
              <w:rPr>
                <w:sz w:val="20"/>
                <w:szCs w:val="20"/>
                <w:color w:val="auto"/>
              </w:rPr>
            </w:pPr>
            <w:r>
              <w:rPr>
                <w:rFonts w:ascii="Times New Roman" w:cs="Times New Roman" w:eastAsia="Times New Roman" w:hAnsi="Times New Roman"/>
                <w:sz w:val="16"/>
                <w:szCs w:val="16"/>
                <w:b w:val="1"/>
                <w:bCs w:val="1"/>
                <w:color w:val="auto"/>
                <w:w w:val="99"/>
              </w:rPr>
              <w:t>Trading</w:t>
            </w:r>
          </w:p>
        </w:tc>
        <w:tc>
          <w:tcPr>
            <w:tcW w:w="5060" w:type="dxa"/>
            <w:vAlign w:val="bottom"/>
          </w:tcPr>
          <w:p>
            <w:pPr>
              <w:spacing w:after="0"/>
              <w:rPr>
                <w:sz w:val="15"/>
                <w:szCs w:val="15"/>
                <w:color w:val="auto"/>
              </w:rPr>
            </w:pPr>
          </w:p>
        </w:tc>
      </w:tr>
      <w:tr>
        <w:trPr>
          <w:trHeight w:val="214"/>
        </w:trPr>
        <w:tc>
          <w:tcPr>
            <w:tcW w:w="4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Common Stock, $0.01 par value per share</w:t>
            </w:r>
          </w:p>
        </w:tc>
        <w:tc>
          <w:tcPr>
            <w:tcW w:w="12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LIEN</w:t>
            </w:r>
          </w:p>
        </w:tc>
        <w:tc>
          <w:tcPr>
            <w:tcW w:w="100" w:type="dxa"/>
            <w:vAlign w:val="bottom"/>
            <w:tcBorders>
              <w:top w:val="single" w:sz="8" w:color="CCEEFF"/>
            </w:tcBorders>
            <w:shd w:val="clear" w:color="auto" w:fill="CCEEFF"/>
          </w:tcPr>
          <w:p>
            <w:pPr>
              <w:spacing w:after="0"/>
              <w:rPr>
                <w:sz w:val="16"/>
                <w:szCs w:val="16"/>
                <w:color w:val="auto"/>
              </w:rPr>
            </w:pPr>
          </w:p>
        </w:tc>
        <w:tc>
          <w:tcPr>
            <w:tcW w:w="5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75" w:lineRule="exact"/>
        <w:rPr>
          <w:sz w:val="24"/>
          <w:szCs w:val="24"/>
          <w:color w:val="auto"/>
        </w:rPr>
      </w:pPr>
    </w:p>
    <w:p>
      <w:pPr>
        <w:ind w:left="4" w:right="10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ind w:left="4" w:right="20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433070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4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00" w:lineRule="exact"/>
        <w:rPr>
          <w:sz w:val="20"/>
          <w:szCs w:val="20"/>
          <w:color w:val="auto"/>
        </w:rPr>
      </w:pPr>
    </w:p>
    <w:p>
      <w:pPr>
        <w:ind w:right="60" w:firstLine="613"/>
        <w:spacing w:after="0" w:line="280" w:lineRule="auto"/>
        <w:rPr>
          <w:sz w:val="20"/>
          <w:szCs w:val="20"/>
          <w:color w:val="auto"/>
        </w:rPr>
      </w:pPr>
      <w:r>
        <w:rPr>
          <w:rFonts w:ascii="Times New Roman" w:cs="Times New Roman" w:eastAsia="Times New Roman" w:hAnsi="Times New Roman"/>
          <w:sz w:val="16"/>
          <w:szCs w:val="16"/>
          <w:color w:val="auto"/>
        </w:rPr>
        <w:t>On November 13, 2025, Chicago Atlantic BDC, Inc. (the “Company”) issued a press release announcing its financial results for the third quarter ended September 30, 2025. The press release is attached as Exhibit 99.1 to this Current Report on Form 8-K and is incorporated herein by reference.</w:t>
      </w:r>
    </w:p>
    <w:p>
      <w:pPr>
        <w:spacing w:after="0" w:line="144" w:lineRule="exact"/>
        <w:rPr>
          <w:sz w:val="20"/>
          <w:szCs w:val="20"/>
          <w:color w:val="auto"/>
        </w:rPr>
      </w:pPr>
    </w:p>
    <w:p>
      <w:pPr>
        <w:ind w:firstLine="574"/>
        <w:spacing w:after="0" w:line="259" w:lineRule="auto"/>
        <w:rPr>
          <w:sz w:val="20"/>
          <w:szCs w:val="20"/>
          <w:color w:val="auto"/>
        </w:rPr>
      </w:pPr>
      <w:r>
        <w:rPr>
          <w:rFonts w:ascii="Times New Roman" w:cs="Times New Roman" w:eastAsia="Times New Roman" w:hAnsi="Times New Roman"/>
          <w:sz w:val="16"/>
          <w:szCs w:val="16"/>
          <w:color w:val="auto"/>
        </w:rPr>
        <w:t>The information in Item 2.02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Item 2.02 of this Current Report on Form 8-K shall not be deemed to be incorporated by reference into any filing under the Securities Act of 1933, as amended (the “Securities Act”), or the Exchange Act, except as shall be expressly set forth by specific reference in such filing.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ind w:right="80" w:firstLine="574"/>
        <w:spacing w:after="0" w:line="265" w:lineRule="auto"/>
        <w:rPr>
          <w:sz w:val="20"/>
          <w:szCs w:val="20"/>
          <w:color w:val="auto"/>
        </w:rPr>
      </w:pPr>
      <w:r>
        <w:rPr>
          <w:rFonts w:ascii="Times New Roman" w:cs="Times New Roman" w:eastAsia="Times New Roman" w:hAnsi="Times New Roman"/>
          <w:sz w:val="16"/>
          <w:szCs w:val="16"/>
          <w:color w:val="auto"/>
        </w:rPr>
        <w:t>On November 13, 2025, the Company disseminated an earnings presentation to be used in connection with its conference call and live webcast on November 13, 2025 at 9:00 a.m. Eastern time to discuss its financial results for the third quarter ended September 30, 2025. The earnings presentation is attached as Exhibit 99.2 to this Current Report on Form 8-K and is incorporated herein by reference.</w:t>
      </w:r>
    </w:p>
    <w:p>
      <w:pPr>
        <w:spacing w:after="0" w:line="155" w:lineRule="exact"/>
        <w:rPr>
          <w:sz w:val="20"/>
          <w:szCs w:val="20"/>
          <w:color w:val="auto"/>
        </w:rPr>
      </w:pPr>
    </w:p>
    <w:p>
      <w:pPr>
        <w:ind w:firstLine="574"/>
        <w:spacing w:after="0" w:line="290" w:lineRule="auto"/>
        <w:rPr>
          <w:sz w:val="20"/>
          <w:szCs w:val="20"/>
          <w:color w:val="auto"/>
        </w:rPr>
      </w:pPr>
      <w:r>
        <w:rPr>
          <w:rFonts w:ascii="Times New Roman" w:cs="Times New Roman" w:eastAsia="Times New Roman" w:hAnsi="Times New Roman"/>
          <w:sz w:val="15"/>
          <w:szCs w:val="15"/>
          <w:color w:val="auto"/>
        </w:rPr>
        <w:t>The information in Item 7.01 of this Current Report on Form 8-K, including Exhibit 99.2 furnished herewith, is being furnished and shall not be deemed “filed” for any purpose of Section 18 of the Exchange Act, or otherwise subject to the liabilities of such section. The information in Item 7.01 of this Current Report on Form 8-K shall not be deemed to be incorporated by reference into any filing under the Securities Act or the Exchange Act, except as shall be expressly set forth by specific reference in such filing.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d) Exhibits</w:t>
            </w: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520" w:type="dxa"/>
            <w:vAlign w:val="bottom"/>
          </w:tcPr>
          <w:p>
            <w:pPr>
              <w:spacing w:after="0"/>
              <w:rPr>
                <w:sz w:val="18"/>
                <w:szCs w:val="18"/>
                <w:color w:val="auto"/>
              </w:rPr>
            </w:pPr>
          </w:p>
        </w:tc>
      </w:tr>
      <w:tr>
        <w:trPr>
          <w:trHeight w:val="386"/>
        </w:trPr>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120" w:type="dxa"/>
            <w:vAlign w:val="bottom"/>
          </w:tcPr>
          <w:p>
            <w:pPr>
              <w:spacing w:after="0"/>
              <w:rPr>
                <w:sz w:val="24"/>
                <w:szCs w:val="24"/>
                <w:color w:val="auto"/>
              </w:rPr>
            </w:pPr>
          </w:p>
        </w:tc>
        <w:tc>
          <w:tcPr>
            <w:tcW w:w="9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1"/>
        </w:trPr>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520" w:type="dxa"/>
            <w:vAlign w:val="bottom"/>
          </w:tcPr>
          <w:p>
            <w:pPr>
              <w:spacing w:after="0"/>
              <w:rPr>
                <w:sz w:val="16"/>
                <w:szCs w:val="16"/>
                <w:color w:val="auto"/>
              </w:rPr>
            </w:pPr>
          </w:p>
        </w:tc>
      </w:tr>
      <w:tr>
        <w:trPr>
          <w:trHeight w:val="155"/>
        </w:trPr>
        <w:tc>
          <w:tcPr>
            <w:tcW w:w="14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3"/>
                <w:szCs w:val="13"/>
                <w:color w:val="auto"/>
              </w:rPr>
            </w:pPr>
          </w:p>
        </w:tc>
        <w:tc>
          <w:tcPr>
            <w:tcW w:w="968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Press release, dated November 13, 2025.</w:t>
            </w:r>
          </w:p>
        </w:tc>
      </w:tr>
      <w:tr>
        <w:trPr>
          <w:trHeight w:val="36"/>
        </w:trPr>
        <w:tc>
          <w:tcPr>
            <w:tcW w:w="14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580" w:type="dxa"/>
            <w:vAlign w:val="bottom"/>
            <w:shd w:val="clear" w:color="auto" w:fill="0000EE"/>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6520" w:type="dxa"/>
            <w:vAlign w:val="bottom"/>
            <w:shd w:val="clear" w:color="auto" w:fill="CCEEFF"/>
          </w:tcPr>
          <w:p>
            <w:pPr>
              <w:spacing w:after="0"/>
              <w:rPr>
                <w:sz w:val="3"/>
                <w:szCs w:val="3"/>
                <w:color w:val="auto"/>
              </w:rPr>
            </w:pPr>
          </w:p>
        </w:tc>
      </w:tr>
      <w:tr>
        <w:trPr>
          <w:trHeight w:val="163"/>
        </w:trPr>
        <w:tc>
          <w:tcPr>
            <w:tcW w:w="146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4"/>
                <w:szCs w:val="14"/>
                <w:color w:val="auto"/>
              </w:rPr>
            </w:pPr>
          </w:p>
        </w:tc>
        <w:tc>
          <w:tcPr>
            <w:tcW w:w="3160" w:type="dxa"/>
            <w:vAlign w:val="bottom"/>
            <w:tcBorders>
              <w:bottom w:val="single" w:sz="8" w:color="0000EE"/>
            </w:tcBorders>
            <w:gridSpan w:val="2"/>
          </w:tcPr>
          <w:p>
            <w:pPr>
              <w:spacing w:after="0" w:line="155" w:lineRule="exact"/>
              <w:rPr>
                <w:sz w:val="20"/>
                <w:szCs w:val="20"/>
                <w:color w:val="auto"/>
              </w:rPr>
            </w:pPr>
            <w:r>
              <w:rPr>
                <w:rFonts w:ascii="Times New Roman" w:cs="Times New Roman" w:eastAsia="Times New Roman" w:hAnsi="Times New Roman"/>
                <w:sz w:val="16"/>
                <w:szCs w:val="16"/>
                <w:color w:val="0000EE"/>
                <w:w w:val="98"/>
              </w:rPr>
              <w:t>Earnings Presentation, dated November 13, 2025.</w:t>
            </w:r>
          </w:p>
        </w:tc>
        <w:tc>
          <w:tcPr>
            <w:tcW w:w="6520" w:type="dxa"/>
            <w:vAlign w:val="bottom"/>
          </w:tcPr>
          <w:p>
            <w:pPr>
              <w:spacing w:after="0"/>
              <w:rPr>
                <w:sz w:val="14"/>
                <w:szCs w:val="14"/>
                <w:color w:val="auto"/>
              </w:rPr>
            </w:pPr>
          </w:p>
        </w:tc>
      </w:tr>
      <w:tr>
        <w:trPr>
          <w:trHeight w:val="199"/>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7"/>
                <w:szCs w:val="17"/>
                <w:color w:val="auto"/>
              </w:rPr>
            </w:pPr>
          </w:p>
        </w:tc>
        <w:tc>
          <w:tcPr>
            <w:tcW w:w="9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506"/>
        </w:trPr>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18" w:right="31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ind w:left="6980"/>
        <w:spacing w:after="0"/>
        <w:rPr>
          <w:sz w:val="20"/>
          <w:szCs w:val="20"/>
          <w:color w:val="auto"/>
        </w:rPr>
      </w:pPr>
      <w:r>
        <w:rPr>
          <w:rFonts w:ascii="Times New Roman" w:cs="Times New Roman" w:eastAsia="Times New Roman" w:hAnsi="Times New Roman"/>
          <w:sz w:val="16"/>
          <w:szCs w:val="16"/>
          <w:color w:val="auto"/>
        </w:rPr>
        <w:t>CHICAGO ATLANTIC BDC, INC.</w:t>
      </w:r>
    </w:p>
    <w:p>
      <w:pPr>
        <w:spacing w:after="0" w:line="182" w:lineRule="exact"/>
        <w:rPr>
          <w:sz w:val="20"/>
          <w:szCs w:val="20"/>
          <w:color w:val="auto"/>
        </w:rPr>
      </w:pPr>
    </w:p>
    <w:p>
      <w:pPr>
        <w:spacing w:after="0"/>
        <w:tabs>
          <w:tab w:leader="none" w:pos="6960" w:val="left"/>
        </w:tabs>
        <w:rPr>
          <w:sz w:val="20"/>
          <w:szCs w:val="20"/>
          <w:color w:val="auto"/>
        </w:rPr>
      </w:pPr>
      <w:r>
        <w:rPr>
          <w:rFonts w:ascii="Times New Roman" w:cs="Times New Roman" w:eastAsia="Times New Roman" w:hAnsi="Times New Roman"/>
          <w:sz w:val="16"/>
          <w:szCs w:val="16"/>
          <w:color w:val="auto"/>
        </w:rPr>
        <w:t>Date: November 13, 2025</w:t>
      </w:r>
      <w:r>
        <w:rPr>
          <w:sz w:val="20"/>
          <w:szCs w:val="20"/>
          <w:color w:val="auto"/>
        </w:rPr>
        <w:tab/>
      </w:r>
      <w:r>
        <w:rPr>
          <w:rFonts w:ascii="Times New Roman" w:cs="Times New Roman" w:eastAsia="Times New Roman" w:hAnsi="Times New Roman"/>
          <w:sz w:val="16"/>
          <w:szCs w:val="16"/>
          <w:color w:val="auto"/>
        </w:rPr>
        <w:t>By:  /s/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15240</wp:posOffset>
            </wp:positionV>
            <wp:extent cx="249682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334010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820"/>
          </w:cols>
          <w:pgMar w:left="320" w:top="718"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2994660</wp:posOffset>
            </wp:positionH>
            <wp:positionV relativeFrom="paragraph">
              <wp:posOffset>137795</wp:posOffset>
            </wp:positionV>
            <wp:extent cx="1160780" cy="1009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0780" cy="100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Chicago Atlantic BDC, Inc. Reports Third Quarter 2025 Financial Results</w:t>
      </w:r>
    </w:p>
    <w:p>
      <w:pPr>
        <w:spacing w:after="0" w:line="20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NEW YORK, November 13, 2025 --- Chicago Atlantic BDC, Inc. (“LIEN” or the “Company”) (NASDAQ: LIEN), a specialty finance company that has elected to be regulated as a business development company, today announced its financial results for the third quarter ended September 30,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Third Quarter 2025 Highlights and Subsequent Activity</w:t>
      </w:r>
    </w:p>
    <w:p>
      <w:pPr>
        <w:spacing w:after="0" w:line="200" w:lineRule="exact"/>
        <w:rPr>
          <w:sz w:val="20"/>
          <w:szCs w:val="20"/>
          <w:color w:val="auto"/>
        </w:rPr>
      </w:pPr>
    </w:p>
    <w:p>
      <w:pPr>
        <w:ind w:left="560" w:right="20" w:hanging="278"/>
        <w:spacing w:after="0" w:line="280"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gross investment income of $15.1 million. Interest income accounted for $13.8 million, of which $1.9 million was related to one-time pre-payment premiums from early payoffs</w:t>
      </w:r>
    </w:p>
    <w:p>
      <w:pPr>
        <w:spacing w:after="0" w:line="16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investment income of $9.5 million, or $0.42 per weighted average share outstanding</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investment portfolio of $311.4 million at fair value</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asset value (“NAV”) per share was $13.27 on September 30, 2025</w:t>
      </w:r>
    </w:p>
    <w:p>
      <w:pPr>
        <w:spacing w:after="0" w:line="222"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Board of Directors declared a dividend of $0.34 per share for the quarter ending December 31, 2025 payable on January 15, 2026 to shareholders of record on December 31, 2025</w:t>
      </w:r>
    </w:p>
    <w:p>
      <w:pPr>
        <w:spacing w:after="0" w:line="16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Funded eleven portfolio companies with $66.3 million in aggregate par value during the third quarter of 2025</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quarter end, the Company funded a $5.0 million investment to a new borrower</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2025, there were 22,820,590 common shares issued and outstanding on a basic and fully diluted basis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Peter Sack, Chief Executive Officer of the Company, commented, “We are a highly differentiated BDC with a portfolio, strategy, platform, and credit quality that continue to stand out from the rest of the industry. At a time when borrower credit concerns, portfolio interest rate sensitivity, and dividend coverage issues are common concerns across the industry, Chicago Atlantic BDC has relied upon our platform’s originations and underwriting acumen to build a strong portfolio with no loans on non-accrual, low exposure to third party originators, and limited downside exposure to interest rate declines. With $66.7 million of gross originations during the quarter, another record for the Company, and another $5.0 million subsequent to quarter end, we were able to utilize a portion of our new credit facility while improving the diversification of the portfolio. By remaining under-levered through a patient approach compared with the rest of the industry, we have also reserved available liquidity to deploy over the balance of the year and into 2026 to take advantage of new opportunities.”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and Investment Activity</w:t>
      </w:r>
    </w:p>
    <w:p>
      <w:pPr>
        <w:spacing w:after="0" w:line="200" w:lineRule="exact"/>
        <w:rPr>
          <w:sz w:val="20"/>
          <w:szCs w:val="20"/>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2025, the Company’s investment portfolio had an aggregate fair value of approximately $311.4 million across 37 portfolio companies.</w:t>
      </w:r>
    </w:p>
    <w:p>
      <w:pPr>
        <w:spacing w:after="0" w:line="198"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quarter ended September 30, 2025, the Company funded eleven portfolio companies with an aggregate par value of $66.3 million, seven of which were in new borrowers. Subsequent to quarter end, the Company funded one investment to a new borrower with an aggregate par value of $5.0 million.</w:t>
      </w:r>
    </w:p>
    <w:p>
      <w:pPr>
        <w:spacing w:after="0" w:line="144" w:lineRule="exact"/>
        <w:rPr>
          <w:rFonts w:ascii="Times New Roman" w:cs="Times New Roman" w:eastAsia="Times New Roman" w:hAnsi="Times New Roman"/>
          <w:sz w:val="16"/>
          <w:szCs w:val="16"/>
          <w:color w:val="auto"/>
        </w:rPr>
      </w:pPr>
    </w:p>
    <w:p>
      <w:pPr>
        <w:ind w:left="560" w:right="20" w:hanging="278"/>
        <w:spacing w:after="0" w:line="280"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quarter ended September 30, 2025, the Company had principal amortization and repayments of $62.7 million, of which $0.5 million was receivable as of September 30, 2025.</w:t>
      </w:r>
    </w:p>
    <w:p>
      <w:pPr>
        <w:spacing w:after="0" w:line="144"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2025, there were no loans on non-accrual status.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For the three months ended September 30, 2025, total investment income was approximately $15.1 million. For the three months ended September 30, 2025, the Company incurred net expenses of approximately $5.6 million, resulting in net investment income of approximately $9.5 million, or $0.42 per weighted average share, and a net increase in net assets from operations of approximately $8.8 million, or $0.39 per weighted average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367030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As of September 30, 2025, the Company had $99.5 million of liquidity including $10.5 million of cash and cash equivalents and $11 million of borrowings outstanding on its $100 million senior credit facility. As of November 12, 2025, the Company has $7.5 million outstanding on its senior credit facility and approximately $97.8 million of liquidity.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Asset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2025, NAV per share was $13.27 compared with $13.23 as of June 30, 2025. The increase in NAV per share was primarily driven by growth in net assets.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net assets as of September 30, 2025, were $302.9 million compared to $301.8 million as of June 30,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w:t>
      </w:r>
    </w:p>
    <w:p>
      <w:pPr>
        <w:spacing w:after="0" w:line="20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The Company’s Board of Directors declared a cash dividend of $0.34 per share for the quarter ending December 31, 2025 payable on January 15, 2026 to shareholders of record of December 31,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 and Quarterly Earnings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48195" cy="12141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214120"/>
                    </a:xfrm>
                    <a:prstGeom prst="rect">
                      <a:avLst/>
                    </a:prstGeom>
                    <a:noFill/>
                  </pic:spPr>
                </pic:pic>
              </a:graphicData>
            </a:graphic>
          </wp:anchor>
        </w:drawing>
      </w:r>
    </w:p>
    <w:p>
      <w:pPr>
        <w:spacing w:after="0" w:line="18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highlight w:val="white"/>
        </w:rPr>
        <w:t>The Company will host a conference call and live audio webcast, both open for the general public to hear, to discuss the Company’s third quarter 2025 financial results at 9:00 a.m. Eastern Time on Thursday, November 13, 2025. The number to call for the conference call is (833) 630-1956 (international callers: 412-317-1837). The live audio webcast of the call will also be available on the Company’s website at lien.chicagoatlantic.com.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 replay of the call will be available at </w:t>
      </w:r>
      <w:r>
        <w:rPr>
          <w:rFonts w:ascii="Times New Roman" w:cs="Times New Roman" w:eastAsia="Times New Roman" w:hAnsi="Times New Roman"/>
          <w:sz w:val="16"/>
          <w:szCs w:val="16"/>
          <w:color w:val="auto"/>
          <w:highlight w:val="white"/>
        </w:rPr>
        <w:t>lien.chicagoatlantic.com</w:t>
      </w:r>
      <w:r>
        <w:rPr>
          <w:rFonts w:ascii="Times New Roman" w:cs="Times New Roman" w:eastAsia="Times New Roman" w:hAnsi="Times New Roman"/>
          <w:sz w:val="16"/>
          <w:szCs w:val="16"/>
          <w:color w:val="auto"/>
        </w:rPr>
        <w:t xml:space="preserve"> by the end of </w:t>
      </w:r>
      <w:r>
        <w:rPr>
          <w:rFonts w:ascii="Times New Roman" w:cs="Times New Roman" w:eastAsia="Times New Roman" w:hAnsi="Times New Roman"/>
          <w:sz w:val="16"/>
          <w:szCs w:val="16"/>
          <w:color w:val="auto"/>
          <w:highlight w:val="white"/>
        </w:rPr>
        <w:t>day on November 13,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Call Details – Chicago Atlantic BDC, Inc. Third Quarter 2025 Financial Results:</w:t>
      </w:r>
    </w:p>
    <w:p>
      <w:pPr>
        <w:spacing w:after="0" w:line="198" w:lineRule="exact"/>
        <w:rPr>
          <w:sz w:val="20"/>
          <w:szCs w:val="20"/>
          <w:color w:val="auto"/>
        </w:rPr>
      </w:pPr>
    </w:p>
    <w:p>
      <w:pPr>
        <w:ind w:left="560" w:hanging="278"/>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When</w:t>
      </w:r>
      <w:r>
        <w:rPr>
          <w:rFonts w:ascii="Times New Roman" w:cs="Times New Roman" w:eastAsia="Times New Roman" w:hAnsi="Times New Roman"/>
          <w:sz w:val="16"/>
          <w:szCs w:val="16"/>
          <w:color w:val="auto"/>
        </w:rPr>
        <w:t>: Thursday, November 13, 2025</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Time</w:t>
      </w:r>
      <w:r>
        <w:rPr>
          <w:rFonts w:ascii="Times New Roman" w:cs="Times New Roman" w:eastAsia="Times New Roman" w:hAnsi="Times New Roman"/>
          <w:sz w:val="16"/>
          <w:szCs w:val="16"/>
          <w:color w:val="auto"/>
        </w:rPr>
        <w:t>: 9:00 a.m. ET</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Webcast Live Stream</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https://edge.media-server.com/mmc/p/d8dx2wpi</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Replay</w:t>
      </w:r>
      <w:r>
        <w:rPr>
          <w:rFonts w:ascii="Times New Roman" w:cs="Times New Roman" w:eastAsia="Times New Roman" w:hAnsi="Times New Roman"/>
          <w:sz w:val="16"/>
          <w:szCs w:val="16"/>
          <w:color w:val="auto"/>
        </w:rPr>
        <w:t>: lien.chicagoatlantic.com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-620395</wp:posOffset>
            </wp:positionV>
            <wp:extent cx="7148195" cy="121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-362585</wp:posOffset>
            </wp:positionV>
            <wp:extent cx="7148195" cy="121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-104140</wp:posOffset>
            </wp:positionV>
            <wp:extent cx="7148195" cy="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LIEN posted its Third Quarter 2025 Earnings Presentation on the Events and Presentations page of its website, lien.chicagoatlantic.com. LIEN routinely posts important information for investors on its website. The Company intends to use this website as a means of disclosing material information, for complying with its disclosure obligations under Regulation FD and to post and update investor presentations and similar materials on a regular basis. The Company encourages investors, analysts, the media and others interested in LIEN to monitor the Investor Relations page of its website, in addition to following its press releases, Securities and Exchange Commission (“SEC”) filings, publicly available earnings calls, presentations, webcasts and other information posted from time to time on the website. Please visit the IR Resources section of the website to sign up for email notifications.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About Chicago Atlantic BDC, Inc.</w:t>
      </w:r>
    </w:p>
    <w:p>
      <w:pPr>
        <w:spacing w:after="0" w:line="20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The Company is a specialty finance company that has elected to be regulated as a business development company under the Investment Company Act of 1940, as amended, and has elected to be treated as a regulated investment company for U.S. federal income tax purposes. The Company’s investment objective is to maximize risk-adjusted returns on equity for its stockholders by investing primarily in direct loans to privately held middle-market companies, with a primary focus on cannabis companies. The Company is managed by Chicago Atlantic BDC Advisers, LLC, an investment manager focused on the cannabis industry and other niche or underfollowed sectors. For more information, please visit lien.chicagoatlantic.com.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Certain information contained herein may constitute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the Company, its current and prospective portfolio investments, its industry, its beliefs and opinions, and its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the Company’s control and difficult to predict and could cause actual results to differ materially from those expressed or forecasted in the forward-looking statements including, without limitation, the risks, uncertainties and other factors identified in the Company’s filings with the SEC. Investors should not place undue reliance on these forward-looking statements, which apply only as of the date on which the Company makes them. The Company does not undertake any obligation to update or revise any forward-looking statements or any other information contained herein, except as required by applicable law.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Contact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Tripp Sullivan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Lisa Kampf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SCR Partners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LIEN@chicagoatlantic.com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 w:name="page7"/>
    <w:bookmarkEnd w:id="6"/>
    <w:p>
      <w:pPr>
        <w:ind w:left="4400"/>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Statements of Assets and Liabilities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14"/>
        </w:trPr>
        <w:tc>
          <w:tcPr>
            <w:tcW w:w="8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2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Non-control/non-affiliate investments at fair value (amortized cost of $310,270,261 and $305,718,723, respectively)</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311,393,482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307,499,004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10,462,366</w:t>
            </w: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13,829,354</w:t>
            </w: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receivable</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3,653,641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2,480,774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1,074,337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1,423,572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from affiliates</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669,753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6,517,715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8260" w:type="dxa"/>
            <w:vAlign w:val="bottom"/>
            <w:tcBorders>
              <w:top w:val="single" w:sz="8" w:color="CCEEFF"/>
              <w:bottom w:val="single" w:sz="8" w:color="CCEEFF"/>
            </w:tcBorders>
          </w:tcPr>
          <w:p>
            <w:pPr>
              <w:ind w:left="140"/>
              <w:spacing w:after="0" w:line="175"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4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327,253,579</w:t>
            </w:r>
          </w:p>
        </w:tc>
        <w:tc>
          <w:tcPr>
            <w:tcW w:w="2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331,750,419</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Revolving line of credit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11,000,000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payable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7,759,001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7,758,939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Income-based incentive fees payable</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2,347,474</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1,968,640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Management fee payable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1,399,845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1,345,331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to affiliates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985,882</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724,306</w:t>
            </w: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 payable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477,094</w:t>
            </w: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629,000</w:t>
            </w: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payables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180,611</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155,002</w:t>
            </w: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Capital gains incentive fees payable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167,594</w:t>
            </w: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299,006</w:t>
            </w: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Unearned interest income</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15,499</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126,136</w:t>
            </w: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Payable for investments purchased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11,760,000</w:t>
            </w: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Offering costs payable</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92,615</w:t>
            </w:r>
          </w:p>
        </w:tc>
        <w:tc>
          <w:tcPr>
            <w:tcW w:w="0" w:type="dxa"/>
            <w:vAlign w:val="bottom"/>
          </w:tcPr>
          <w:p>
            <w:pPr>
              <w:spacing w:after="0"/>
              <w:rPr>
                <w:sz w:val="1"/>
                <w:szCs w:val="1"/>
                <w:color w:val="auto"/>
              </w:rPr>
            </w:pPr>
          </w:p>
        </w:tc>
      </w:tr>
      <w:tr>
        <w:trPr>
          <w:trHeight w:val="207"/>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Deferred financing costs payable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47,881</w:t>
            </w:r>
          </w:p>
        </w:tc>
        <w:tc>
          <w:tcPr>
            <w:tcW w:w="0" w:type="dxa"/>
            <w:vAlign w:val="bottom"/>
          </w:tcPr>
          <w:p>
            <w:pPr>
              <w:spacing w:after="0"/>
              <w:rPr>
                <w:sz w:val="1"/>
                <w:szCs w:val="1"/>
                <w:color w:val="auto"/>
              </w:rPr>
            </w:pPr>
          </w:p>
        </w:tc>
      </w:tr>
      <w:tr>
        <w:trPr>
          <w:trHeight w:val="195"/>
        </w:trPr>
        <w:tc>
          <w:tcPr>
            <w:tcW w:w="8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24,333,000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29,906,856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2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Common stock, $0.01 par value, 100,000,000 shares authorized, 22,820,590 and 22,820,408 shares issued and outstanding,</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228,206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228,204</w:t>
            </w: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paid-in-capital</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303,154,218</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303,152,264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Distributable earnings (Accumulated loss)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(461,845)</w:t>
            </w: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(1,536,905)</w:t>
            </w:r>
          </w:p>
        </w:tc>
        <w:tc>
          <w:tcPr>
            <w:tcW w:w="0" w:type="dxa"/>
            <w:vAlign w:val="bottom"/>
          </w:tcPr>
          <w:p>
            <w:pPr>
              <w:spacing w:after="0"/>
              <w:rPr>
                <w:sz w:val="1"/>
                <w:szCs w:val="1"/>
                <w:color w:val="auto"/>
              </w:rPr>
            </w:pPr>
          </w:p>
        </w:tc>
      </w:tr>
      <w:tr>
        <w:trPr>
          <w:trHeight w:val="211"/>
        </w:trPr>
        <w:tc>
          <w:tcPr>
            <w:tcW w:w="8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net assets</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302,920,579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301,843,563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13.23</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5580"/>
              <w:spacing w:after="0"/>
              <w:rPr>
                <w:sz w:val="20"/>
                <w:szCs w:val="20"/>
                <w:color w:val="auto"/>
              </w:rPr>
            </w:pPr>
            <w:r>
              <w:rPr>
                <w:rFonts w:ascii="Times New Roman" w:cs="Times New Roman" w:eastAsia="Times New Roman" w:hAnsi="Times New Roman"/>
                <w:sz w:val="16"/>
                <w:szCs w:val="16"/>
                <w:color w:val="auto"/>
              </w:rPr>
              <w:t>4</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8260" w:type="dxa"/>
            <w:vAlign w:val="bottom"/>
            <w:tcBorders>
              <w:bottom w:val="single" w:sz="8" w:color="auto"/>
            </w:tcBorders>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Statements of Operations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173"/>
        </w:trPr>
        <w:tc>
          <w:tcPr>
            <w:tcW w:w="8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right"/>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200"/>
              <w:spacing w:after="0" w:line="173"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5"/>
                <w:szCs w:val="15"/>
                <w:color w:val="auto"/>
              </w:rPr>
            </w:pPr>
          </w:p>
        </w:tc>
      </w:tr>
      <w:tr>
        <w:trPr>
          <w:trHeight w:val="214"/>
        </w:trPr>
        <w:tc>
          <w:tcPr>
            <w:tcW w:w="8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r>
      <w:tr>
        <w:trPr>
          <w:trHeight w:val="173"/>
        </w:trPr>
        <w:tc>
          <w:tcPr>
            <w:tcW w:w="830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INVESTMENT INCOME</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8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Non-control/non-affiliate investment income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1"/>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13,826,674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11,906,066</w:t>
            </w:r>
          </w:p>
        </w:tc>
      </w:tr>
      <w:tr>
        <w:trPr>
          <w:trHeight w:val="207"/>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Fee income</w:t>
            </w:r>
          </w:p>
        </w:tc>
        <w:tc>
          <w:tcPr>
            <w:tcW w:w="3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1,243,929</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1,173,972</w:t>
            </w:r>
          </w:p>
        </w:tc>
        <w:tc>
          <w:tcPr>
            <w:tcW w:w="120" w:type="dxa"/>
            <w:vAlign w:val="bottom"/>
            <w:tcBorders>
              <w:bottom w:val="single" w:sz="8" w:color="CCEEFF"/>
            </w:tcBorders>
          </w:tcPr>
          <w:p>
            <w:pPr>
              <w:spacing w:after="0"/>
              <w:rPr>
                <w:sz w:val="18"/>
                <w:szCs w:val="18"/>
                <w:color w:val="auto"/>
              </w:rPr>
            </w:pPr>
          </w:p>
        </w:tc>
      </w:tr>
      <w:tr>
        <w:trPr>
          <w:trHeight w:val="195"/>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investment income</w:t>
            </w: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15,070,603</w:t>
            </w:r>
          </w:p>
        </w:tc>
        <w:tc>
          <w:tcPr>
            <w:tcW w:w="2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13,080,038</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91"/>
        </w:trPr>
        <w:tc>
          <w:tcPr>
            <w:tcW w:w="8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Income-based incentive fees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2,347,473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1,968,637</w:t>
            </w:r>
          </w:p>
        </w:tc>
        <w:tc>
          <w:tcPr>
            <w:tcW w:w="120" w:type="dxa"/>
            <w:vAlign w:val="bottom"/>
          </w:tcPr>
          <w:p>
            <w:pPr>
              <w:spacing w:after="0"/>
              <w:rPr>
                <w:sz w:val="16"/>
                <w:szCs w:val="16"/>
                <w:color w:val="auto"/>
              </w:rPr>
            </w:pPr>
          </w:p>
        </w:tc>
      </w:tr>
      <w:tr>
        <w:trPr>
          <w:trHeight w:val="191"/>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Management fee</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1,399,845</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1,345,331</w:t>
            </w:r>
          </w:p>
        </w:tc>
        <w:tc>
          <w:tcPr>
            <w:tcW w:w="120" w:type="dxa"/>
            <w:vAlign w:val="bottom"/>
            <w:shd w:val="clear" w:color="auto" w:fill="CCEEFF"/>
          </w:tcPr>
          <w:p>
            <w:pPr>
              <w:spacing w:after="0"/>
              <w:rPr>
                <w:sz w:val="16"/>
                <w:szCs w:val="16"/>
                <w:color w:val="auto"/>
              </w:rPr>
            </w:pP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1,082,419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1,366,783</w:t>
            </w:r>
          </w:p>
        </w:tc>
        <w:tc>
          <w:tcPr>
            <w:tcW w:w="120" w:type="dxa"/>
            <w:vAlign w:val="bottom"/>
          </w:tcPr>
          <w:p>
            <w:pPr>
              <w:spacing w:after="0"/>
              <w:rPr>
                <w:sz w:val="16"/>
                <w:szCs w:val="16"/>
                <w:color w:val="auto"/>
              </w:rPr>
            </w:pPr>
          </w:p>
        </w:tc>
      </w:tr>
      <w:tr>
        <w:trPr>
          <w:trHeight w:val="191"/>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338,515</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301,260</w:t>
            </w: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fees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199,939</w:t>
            </w: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275,860</w:t>
            </w:r>
          </w:p>
        </w:tc>
      </w:tr>
      <w:tr>
        <w:trPr>
          <w:trHeight w:val="191"/>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Legal expenses</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103,733</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313,139</w:t>
            </w: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Audit expense</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153,750</w:t>
            </w: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153,750</w:t>
            </w:r>
          </w:p>
        </w:tc>
      </w:tr>
      <w:tr>
        <w:trPr>
          <w:trHeight w:val="191"/>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157,903</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169,717</w:t>
            </w: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Sub-administrator fees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154,939</w:t>
            </w:r>
          </w:p>
        </w:tc>
        <w:tc>
          <w:tcPr>
            <w:tcW w:w="16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128,805</w:t>
            </w:r>
          </w:p>
        </w:tc>
      </w:tr>
      <w:tr>
        <w:trPr>
          <w:trHeight w:val="191"/>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gains incentive fees</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(131,412)</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183,932</w:t>
            </w:r>
          </w:p>
        </w:tc>
      </w:tr>
      <w:tr>
        <w:trPr>
          <w:trHeight w:val="191"/>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Excise tax expense</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2,797</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223"/>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Transaction expenses related to the Loan Portfolio Acquisition</w:t>
            </w:r>
          </w:p>
        </w:tc>
        <w:tc>
          <w:tcPr>
            <w:tcW w:w="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79"/>
        </w:trPr>
        <w:tc>
          <w:tcPr>
            <w:tcW w:w="830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expenses</w:t>
            </w: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5,809,901</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6,207,214</w:t>
            </w:r>
          </w:p>
        </w:tc>
        <w:tc>
          <w:tcPr>
            <w:tcW w:w="120" w:type="dxa"/>
            <w:vAlign w:val="bottom"/>
            <w:tcBorders>
              <w:bottom w:val="single" w:sz="8" w:color="CCEEFF"/>
            </w:tcBorders>
          </w:tcPr>
          <w:p>
            <w:pPr>
              <w:spacing w:after="0"/>
              <w:rPr>
                <w:sz w:val="15"/>
                <w:szCs w:val="15"/>
                <w:color w:val="auto"/>
              </w:rPr>
            </w:pPr>
          </w:p>
        </w:tc>
      </w:tr>
      <w:tr>
        <w:trPr>
          <w:trHeight w:val="191"/>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Waiver of General and administrative expense (Note 6)</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207"/>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Expense limitation agreement (Note 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(230,419)</w:t>
            </w: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(791,783)</w:t>
            </w:r>
          </w:p>
        </w:tc>
      </w:tr>
      <w:tr>
        <w:trPr>
          <w:trHeight w:val="211"/>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expenses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5,579,482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5,415,431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9"/>
        </w:trPr>
        <w:tc>
          <w:tcPr>
            <w:tcW w:w="830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INVESTMENT INCOME (LOSS)</w:t>
            </w: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9,491,121</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7,664,607</w:t>
            </w:r>
          </w:p>
        </w:tc>
        <w:tc>
          <w:tcPr>
            <w:tcW w:w="120" w:type="dxa"/>
            <w:vAlign w:val="bottom"/>
            <w:tcBorders>
              <w:bottom w:val="single" w:sz="8" w:color="CCEEFF"/>
            </w:tcBorders>
          </w:tcPr>
          <w:p>
            <w:pPr>
              <w:spacing w:after="0"/>
              <w:rPr>
                <w:sz w:val="15"/>
                <w:szCs w:val="15"/>
                <w:color w:val="auto"/>
              </w:rPr>
            </w:pPr>
          </w:p>
        </w:tc>
      </w:tr>
      <w:tr>
        <w:trPr>
          <w:trHeight w:val="191"/>
        </w:trPr>
        <w:tc>
          <w:tcPr>
            <w:tcW w:w="8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8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REALIZED GAIN (LOSS) FROM INVESTMENTS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8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Non-controlled non-affiliate investments</w:t>
            </w:r>
          </w:p>
        </w:tc>
        <w:tc>
          <w:tcPr>
            <w:tcW w:w="3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79"/>
        </w:trPr>
        <w:tc>
          <w:tcPr>
            <w:tcW w:w="830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realized gain (loss) from investments</w:t>
            </w: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5"/>
                <w:szCs w:val="15"/>
                <w:color w:val="auto"/>
              </w:rPr>
            </w:pPr>
          </w:p>
        </w:tc>
      </w:tr>
      <w:tr>
        <w:trPr>
          <w:trHeight w:val="191"/>
        </w:trPr>
        <w:tc>
          <w:tcPr>
            <w:tcW w:w="8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8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UNREALIZED APPRECIATION (DEPRECIATION) ON INVESTMENTS</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Non-controlled non-affiliate investments</w:t>
            </w: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(657,060)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919,658</w:t>
            </w:r>
          </w:p>
        </w:tc>
      </w:tr>
      <w:tr>
        <w:trPr>
          <w:trHeight w:val="179"/>
        </w:trPr>
        <w:tc>
          <w:tcPr>
            <w:tcW w:w="830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change in unrealized appreciation (depreciation) on investments</w:t>
            </w:r>
          </w:p>
        </w:tc>
        <w:tc>
          <w:tcPr>
            <w:tcW w:w="3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(657,060</w:t>
            </w:r>
          </w:p>
        </w:tc>
        <w:tc>
          <w:tcPr>
            <w:tcW w:w="240" w:type="dxa"/>
            <w:vAlign w:val="bottom"/>
            <w:tcBorders>
              <w:top w:val="single" w:sz="8" w:color="CCEEFF"/>
              <w:bottom w:val="single" w:sz="8" w:color="CCEEFF"/>
            </w:tcBorders>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919,658</w:t>
            </w:r>
          </w:p>
        </w:tc>
        <w:tc>
          <w:tcPr>
            <w:tcW w:w="120" w:type="dxa"/>
            <w:vAlign w:val="bottom"/>
            <w:tcBorders>
              <w:top w:val="single" w:sz="8" w:color="CCEEFF"/>
              <w:bottom w:val="single" w:sz="8" w:color="CCEEFF"/>
            </w:tcBorders>
          </w:tcPr>
          <w:p>
            <w:pPr>
              <w:spacing w:after="0"/>
              <w:rPr>
                <w:sz w:val="15"/>
                <w:szCs w:val="15"/>
                <w:color w:val="auto"/>
              </w:rPr>
            </w:pPr>
          </w:p>
        </w:tc>
      </w:tr>
      <w:tr>
        <w:trPr>
          <w:trHeight w:val="195"/>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realized and unrealized gains (losses)</w:t>
            </w:r>
          </w:p>
        </w:tc>
        <w:tc>
          <w:tcPr>
            <w:tcW w:w="3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(657,060</w:t>
            </w:r>
          </w:p>
        </w:tc>
        <w:tc>
          <w:tcPr>
            <w:tcW w:w="2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919,658</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91"/>
        </w:trPr>
        <w:tc>
          <w:tcPr>
            <w:tcW w:w="8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NET ASSETS RESULTING FROM OPERATIONS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8,834,061</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8,584,265</w:t>
            </w:r>
          </w:p>
        </w:tc>
        <w:tc>
          <w:tcPr>
            <w:tcW w:w="120" w:type="dxa"/>
            <w:vAlign w:val="bottom"/>
            <w:shd w:val="clear" w:color="auto" w:fill="CCEEFF"/>
          </w:tcPr>
          <w:p>
            <w:pPr>
              <w:spacing w:after="0"/>
              <w:rPr>
                <w:sz w:val="20"/>
                <w:szCs w:val="20"/>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87"/>
        </w:trPr>
        <w:tc>
          <w:tcPr>
            <w:tcW w:w="8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INVESTMENT INCOME (LOSS) PER SHARE - BASIC AND DILUTED</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0.34</w:t>
            </w:r>
          </w:p>
        </w:tc>
      </w:tr>
      <w:tr>
        <w:trPr>
          <w:trHeight w:val="173"/>
        </w:trPr>
        <w:tc>
          <w:tcPr>
            <w:tcW w:w="830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NET INCREASE (DECREASE) IN NET ASSETS RESULTING FROM OPERATIONS PER SHARE - BASIC AND</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0.38</w:t>
            </w:r>
          </w:p>
        </w:tc>
      </w:tr>
      <w:tr>
        <w:trPr>
          <w:trHeight w:val="19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OUTSTANDING - BASIC AND DILUTED</w:t>
            </w: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22,820,568</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22,820,405</w:t>
            </w:r>
          </w:p>
        </w:tc>
      </w:tr>
      <w:tr>
        <w:trPr>
          <w:trHeight w:val="577"/>
        </w:trPr>
        <w:tc>
          <w:tcPr>
            <w:tcW w:w="830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6"/>
                <w:szCs w:val="16"/>
                <w:color w:val="auto"/>
              </w:rPr>
              <w:t>5</w:t>
            </w: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8" w:name="page9"/>
    <w:bookmarkEnd w:id="8"/>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16510</wp:posOffset>
            </wp:positionV>
            <wp:extent cx="7203440" cy="4332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528955</wp:posOffset>
            </wp:positionV>
            <wp:extent cx="7203440" cy="4332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2025-11-13T06:20:39Z</dcterms:created>
  <dcterms:modified xsi:type="dcterms:W3CDTF">2025-11-13T06:20:39Z</dcterms:modified>
</cp:coreProperties>
</file>